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2429" w:rsidRPr="00825DB1" w:rsidRDefault="00A22429" w:rsidP="00240394">
      <w:pPr>
        <w:spacing w:after="0" w:line="360" w:lineRule="auto"/>
        <w:jc w:val="center"/>
        <w:rPr>
          <w:rFonts w:ascii="Arial" w:hAnsi="Arial" w:cs="Arial"/>
          <w:b/>
          <w:bCs/>
          <w:sz w:val="24"/>
          <w:szCs w:val="24"/>
        </w:rPr>
      </w:pPr>
      <w:r w:rsidRPr="00AB6DAE">
        <w:rPr>
          <w:rFonts w:ascii="Arial" w:hAnsi="Arial" w:cs="Arial"/>
          <w:b/>
          <w:bCs/>
          <w:sz w:val="24"/>
          <w:szCs w:val="24"/>
        </w:rPr>
        <w:t xml:space="preserve">PERÚ Y </w:t>
      </w:r>
      <w:r>
        <w:rPr>
          <w:rFonts w:ascii="Arial" w:hAnsi="Arial" w:cs="Arial"/>
          <w:b/>
          <w:bCs/>
          <w:sz w:val="24"/>
          <w:szCs w:val="24"/>
        </w:rPr>
        <w:t xml:space="preserve">LAS </w:t>
      </w:r>
      <w:r w:rsidRPr="00AB6DAE">
        <w:rPr>
          <w:rFonts w:ascii="Arial" w:hAnsi="Arial" w:cs="Arial"/>
          <w:b/>
          <w:bCs/>
          <w:sz w:val="24"/>
          <w:szCs w:val="24"/>
        </w:rPr>
        <w:t xml:space="preserve">REPARACIONES: POCOS AVANCES PRÁCTICOS </w:t>
      </w:r>
      <w:r>
        <w:rPr>
          <w:rFonts w:ascii="Arial" w:hAnsi="Arial" w:cs="Arial"/>
          <w:b/>
          <w:bCs/>
          <w:sz w:val="24"/>
          <w:szCs w:val="24"/>
        </w:rPr>
        <w:t>SOBRE</w:t>
      </w:r>
      <w:r w:rsidRPr="00AB6DAE">
        <w:rPr>
          <w:rFonts w:ascii="Arial" w:hAnsi="Arial" w:cs="Arial"/>
          <w:b/>
          <w:bCs/>
          <w:sz w:val="24"/>
          <w:szCs w:val="24"/>
        </w:rPr>
        <w:t xml:space="preserve"> EL TERRENO</w:t>
      </w:r>
    </w:p>
    <w:p w:rsidR="00A22429" w:rsidRPr="00825DB1" w:rsidRDefault="00A22429" w:rsidP="00540BD4">
      <w:pPr>
        <w:spacing w:after="0" w:line="360" w:lineRule="auto"/>
        <w:jc w:val="both"/>
        <w:outlineLvl w:val="0"/>
        <w:rPr>
          <w:rFonts w:ascii="Arial" w:hAnsi="Arial" w:cs="Arial"/>
          <w:b/>
          <w:bCs/>
          <w:sz w:val="24"/>
          <w:szCs w:val="24"/>
        </w:rPr>
      </w:pPr>
      <w:r>
        <w:rPr>
          <w:rFonts w:ascii="Arial" w:hAnsi="Arial" w:cs="Arial"/>
          <w:b/>
          <w:bCs/>
          <w:sz w:val="24"/>
          <w:szCs w:val="24"/>
        </w:rPr>
        <w:t>J</w:t>
      </w:r>
      <w:r w:rsidRPr="00825DB1">
        <w:rPr>
          <w:rFonts w:ascii="Arial" w:hAnsi="Arial" w:cs="Arial"/>
          <w:b/>
          <w:bCs/>
          <w:sz w:val="24"/>
          <w:szCs w:val="24"/>
        </w:rPr>
        <w:t>ulie Guillerot</w:t>
      </w:r>
      <w:r>
        <w:rPr>
          <w:rFonts w:ascii="Arial" w:hAnsi="Arial" w:cs="Arial"/>
          <w:b/>
          <w:bCs/>
          <w:sz w:val="24"/>
          <w:szCs w:val="24"/>
        </w:rPr>
        <w:t>,</w:t>
      </w:r>
      <w:r w:rsidRPr="00825DB1">
        <w:rPr>
          <w:rFonts w:ascii="Arial" w:hAnsi="Arial" w:cs="Arial"/>
          <w:b/>
          <w:bCs/>
          <w:sz w:val="24"/>
          <w:szCs w:val="24"/>
        </w:rPr>
        <w:t xml:space="preserve"> Lisa Magarell</w:t>
      </w:r>
      <w:r w:rsidRPr="00825DB1">
        <w:rPr>
          <w:rStyle w:val="FootnoteReference"/>
          <w:rFonts w:ascii="Arial" w:hAnsi="Arial" w:cs="Arial"/>
          <w:b/>
          <w:bCs/>
          <w:sz w:val="24"/>
          <w:szCs w:val="24"/>
        </w:rPr>
        <w:footnoteReference w:customMarkFollows="1" w:id="2"/>
        <w:t>*</w:t>
      </w:r>
    </w:p>
    <w:p w:rsidR="00A22429" w:rsidRPr="00995225" w:rsidRDefault="00A22429" w:rsidP="00995225">
      <w:pPr>
        <w:spacing w:after="0" w:line="360" w:lineRule="auto"/>
        <w:jc w:val="both"/>
        <w:rPr>
          <w:rFonts w:ascii="Arial" w:hAnsi="Arial" w:cs="Arial"/>
          <w:sz w:val="24"/>
          <w:szCs w:val="24"/>
        </w:rPr>
      </w:pPr>
    </w:p>
    <w:p w:rsidR="00A22429" w:rsidRDefault="00A22429" w:rsidP="00995225">
      <w:pPr>
        <w:spacing w:after="0" w:line="360" w:lineRule="auto"/>
        <w:ind w:firstLine="708"/>
        <w:jc w:val="both"/>
        <w:rPr>
          <w:rFonts w:ascii="Arial" w:hAnsi="Arial" w:cs="Arial"/>
          <w:sz w:val="24"/>
          <w:szCs w:val="24"/>
        </w:rPr>
      </w:pPr>
      <w:r w:rsidRPr="00995225">
        <w:rPr>
          <w:rFonts w:ascii="Arial" w:hAnsi="Arial" w:cs="Arial"/>
          <w:sz w:val="24"/>
          <w:szCs w:val="24"/>
        </w:rPr>
        <w:t>La caída del régimen de Fujimori en noviembre de</w:t>
      </w:r>
      <w:r>
        <w:rPr>
          <w:rFonts w:ascii="Arial" w:hAnsi="Arial" w:cs="Arial"/>
          <w:sz w:val="24"/>
          <w:szCs w:val="24"/>
        </w:rPr>
        <w:t>l</w:t>
      </w:r>
      <w:r w:rsidRPr="00995225">
        <w:rPr>
          <w:rFonts w:ascii="Arial" w:hAnsi="Arial" w:cs="Arial"/>
          <w:sz w:val="24"/>
          <w:szCs w:val="24"/>
        </w:rPr>
        <w:t xml:space="preserve"> 2000 trajo nuevas posibilidades para un cambio </w:t>
      </w:r>
      <w:r>
        <w:rPr>
          <w:rFonts w:ascii="Arial" w:hAnsi="Arial" w:cs="Arial"/>
          <w:sz w:val="24"/>
          <w:szCs w:val="24"/>
        </w:rPr>
        <w:t>en</w:t>
      </w:r>
      <w:r w:rsidRPr="00995225">
        <w:rPr>
          <w:rFonts w:ascii="Arial" w:hAnsi="Arial" w:cs="Arial"/>
          <w:sz w:val="24"/>
          <w:szCs w:val="24"/>
        </w:rPr>
        <w:t xml:space="preserve"> el respeto </w:t>
      </w:r>
      <w:r>
        <w:rPr>
          <w:rFonts w:ascii="Arial" w:hAnsi="Arial" w:cs="Arial"/>
          <w:sz w:val="24"/>
          <w:szCs w:val="24"/>
        </w:rPr>
        <w:t>haci</w:t>
      </w:r>
      <w:r w:rsidRPr="00995225">
        <w:rPr>
          <w:rFonts w:ascii="Arial" w:hAnsi="Arial" w:cs="Arial"/>
          <w:sz w:val="24"/>
          <w:szCs w:val="24"/>
        </w:rPr>
        <w:t xml:space="preserve">a los derechos humanos en el Perú y el desarrollo de una conciencia nacional diferente </w:t>
      </w:r>
      <w:r>
        <w:rPr>
          <w:rFonts w:ascii="Arial" w:hAnsi="Arial" w:cs="Arial"/>
          <w:sz w:val="24"/>
          <w:szCs w:val="24"/>
        </w:rPr>
        <w:t>respecto de</w:t>
      </w:r>
      <w:r w:rsidRPr="00995225">
        <w:rPr>
          <w:rFonts w:ascii="Arial" w:hAnsi="Arial" w:cs="Arial"/>
          <w:sz w:val="24"/>
          <w:szCs w:val="24"/>
        </w:rPr>
        <w:t xml:space="preserve"> los abusos cometidos en los últimos veinte años. El mandato de la Comisión de Verdad y Reconciliación (CVR) fue decretado en aquel contexto</w:t>
      </w:r>
      <w:r w:rsidRPr="00995225">
        <w:rPr>
          <w:rStyle w:val="FootnoteReference"/>
          <w:rFonts w:ascii="Arial" w:hAnsi="Arial" w:cs="Arial"/>
          <w:sz w:val="24"/>
          <w:szCs w:val="24"/>
        </w:rPr>
        <w:footnoteReference w:id="3"/>
      </w:r>
      <w:r w:rsidRPr="00995225">
        <w:rPr>
          <w:rFonts w:ascii="Arial" w:hAnsi="Arial" w:cs="Arial"/>
          <w:sz w:val="24"/>
          <w:szCs w:val="24"/>
        </w:rPr>
        <w:t xml:space="preserve"> por el </w:t>
      </w:r>
      <w:r>
        <w:rPr>
          <w:rFonts w:ascii="Arial" w:hAnsi="Arial" w:cs="Arial"/>
          <w:sz w:val="24"/>
          <w:szCs w:val="24"/>
        </w:rPr>
        <w:t>p</w:t>
      </w:r>
      <w:r w:rsidRPr="00995225">
        <w:rPr>
          <w:rFonts w:ascii="Arial" w:hAnsi="Arial" w:cs="Arial"/>
          <w:sz w:val="24"/>
          <w:szCs w:val="24"/>
        </w:rPr>
        <w:t>residente de transición y fue ratificado más tarde</w:t>
      </w:r>
      <w:r w:rsidRPr="00995225">
        <w:rPr>
          <w:rStyle w:val="FootnoteReference"/>
          <w:rFonts w:ascii="Arial" w:hAnsi="Arial" w:cs="Arial"/>
          <w:sz w:val="24"/>
          <w:szCs w:val="24"/>
        </w:rPr>
        <w:footnoteReference w:id="4"/>
      </w:r>
      <w:r w:rsidRPr="00995225">
        <w:rPr>
          <w:rFonts w:ascii="Arial" w:hAnsi="Arial" w:cs="Arial"/>
          <w:sz w:val="24"/>
          <w:szCs w:val="24"/>
        </w:rPr>
        <w:t xml:space="preserve"> (con algunas modificaciones menores) por el recién elegido presidente Alejandro Toledo, quien asumió el cargo en julio de 2001.</w:t>
      </w:r>
    </w:p>
    <w:p w:rsidR="00A22429" w:rsidRPr="00995225" w:rsidRDefault="00A22429" w:rsidP="00995225">
      <w:pPr>
        <w:spacing w:after="0" w:line="360" w:lineRule="auto"/>
        <w:ind w:firstLine="708"/>
        <w:jc w:val="both"/>
        <w:rPr>
          <w:rFonts w:ascii="Arial" w:hAnsi="Arial" w:cs="Arial"/>
          <w:sz w:val="24"/>
          <w:szCs w:val="24"/>
        </w:rPr>
      </w:pPr>
      <w:r w:rsidRPr="00995225">
        <w:rPr>
          <w:rFonts w:ascii="Arial" w:hAnsi="Arial" w:cs="Arial"/>
          <w:sz w:val="24"/>
          <w:szCs w:val="24"/>
        </w:rPr>
        <w:t xml:space="preserve">El mandato y objetivos de la CVR fueron: Aclarar la naturaleza del conflicto armado y las violaciones de los </w:t>
      </w:r>
      <w:r>
        <w:rPr>
          <w:rFonts w:ascii="Arial" w:hAnsi="Arial" w:cs="Arial"/>
          <w:sz w:val="24"/>
          <w:szCs w:val="24"/>
        </w:rPr>
        <w:t xml:space="preserve">derechos de los </w:t>
      </w:r>
      <w:r w:rsidRPr="00995225">
        <w:rPr>
          <w:rFonts w:ascii="Arial" w:hAnsi="Arial" w:cs="Arial"/>
          <w:sz w:val="24"/>
          <w:szCs w:val="24"/>
        </w:rPr>
        <w:t>peruanos; determinar las responsabilidades de</w:t>
      </w:r>
      <w:r>
        <w:rPr>
          <w:rFonts w:ascii="Arial" w:hAnsi="Arial" w:cs="Arial"/>
          <w:sz w:val="24"/>
          <w:szCs w:val="24"/>
        </w:rPr>
        <w:t xml:space="preserve"> las múltiples</w:t>
      </w:r>
      <w:r w:rsidRPr="00995225">
        <w:rPr>
          <w:rFonts w:ascii="Arial" w:hAnsi="Arial" w:cs="Arial"/>
          <w:sz w:val="24"/>
          <w:szCs w:val="24"/>
        </w:rPr>
        <w:t xml:space="preserve"> violaciones de los derechos humanos entre 1980 y 2000; la formulación de recomendaciones al Estado y la sociedad en general sobre cómo responder y superar el legado de la violencia; y</w:t>
      </w:r>
      <w:r>
        <w:rPr>
          <w:rFonts w:ascii="Arial" w:hAnsi="Arial" w:cs="Arial"/>
          <w:sz w:val="24"/>
          <w:szCs w:val="24"/>
        </w:rPr>
        <w:t>,</w:t>
      </w:r>
      <w:r w:rsidRPr="00995225">
        <w:rPr>
          <w:rFonts w:ascii="Arial" w:hAnsi="Arial" w:cs="Arial"/>
          <w:sz w:val="24"/>
          <w:szCs w:val="24"/>
        </w:rPr>
        <w:t xml:space="preserve"> en lo que respecta específicamente a la reparación, la elaboración de propuestas para la reparación y la dignificación de las víctimas y sus familia</w:t>
      </w:r>
      <w:r>
        <w:rPr>
          <w:rFonts w:ascii="Arial" w:hAnsi="Arial" w:cs="Arial"/>
          <w:sz w:val="24"/>
          <w:szCs w:val="24"/>
        </w:rPr>
        <w:t>re</w:t>
      </w:r>
      <w:r w:rsidRPr="00995225">
        <w:rPr>
          <w:rFonts w:ascii="Arial" w:hAnsi="Arial" w:cs="Arial"/>
          <w:sz w:val="24"/>
          <w:szCs w:val="24"/>
        </w:rPr>
        <w:t>s.</w:t>
      </w:r>
    </w:p>
    <w:p w:rsidR="00A22429" w:rsidRDefault="00A22429" w:rsidP="00995225">
      <w:pPr>
        <w:spacing w:after="0" w:line="360" w:lineRule="auto"/>
        <w:ind w:firstLine="708"/>
        <w:jc w:val="both"/>
        <w:rPr>
          <w:rFonts w:ascii="Arial" w:hAnsi="Arial" w:cs="Arial"/>
          <w:sz w:val="24"/>
          <w:szCs w:val="24"/>
        </w:rPr>
      </w:pPr>
      <w:r w:rsidRPr="00995225">
        <w:rPr>
          <w:rFonts w:ascii="Arial" w:hAnsi="Arial" w:cs="Arial"/>
          <w:sz w:val="24"/>
          <w:szCs w:val="24"/>
        </w:rPr>
        <w:t xml:space="preserve">En agosto de 2003, la CVR hizo públicos los </w:t>
      </w:r>
      <w:r>
        <w:rPr>
          <w:rFonts w:ascii="Arial" w:hAnsi="Arial" w:cs="Arial"/>
          <w:sz w:val="24"/>
          <w:szCs w:val="24"/>
        </w:rPr>
        <w:t xml:space="preserve">9 </w:t>
      </w:r>
      <w:r w:rsidRPr="00995225">
        <w:rPr>
          <w:rFonts w:ascii="Arial" w:hAnsi="Arial" w:cs="Arial"/>
          <w:sz w:val="24"/>
          <w:szCs w:val="24"/>
        </w:rPr>
        <w:t>volúmenes de su Informe Final, que analizan las causas y consecuencias del conflicto armado interno de</w:t>
      </w:r>
      <w:r>
        <w:rPr>
          <w:rFonts w:ascii="Arial" w:hAnsi="Arial" w:cs="Arial"/>
          <w:sz w:val="24"/>
          <w:szCs w:val="24"/>
        </w:rPr>
        <w:t>l</w:t>
      </w:r>
      <w:r w:rsidRPr="00995225">
        <w:rPr>
          <w:rFonts w:ascii="Arial" w:hAnsi="Arial" w:cs="Arial"/>
          <w:sz w:val="24"/>
          <w:szCs w:val="24"/>
        </w:rPr>
        <w:t xml:space="preserve"> Perú y exponen la dimensión y la gravedad de las violaciones de derechos humanos ocurridas durante </w:t>
      </w:r>
      <w:r>
        <w:rPr>
          <w:rFonts w:ascii="Arial" w:hAnsi="Arial" w:cs="Arial"/>
          <w:sz w:val="24"/>
          <w:szCs w:val="24"/>
        </w:rPr>
        <w:t>los</w:t>
      </w:r>
      <w:r w:rsidRPr="00995225">
        <w:rPr>
          <w:rFonts w:ascii="Arial" w:hAnsi="Arial" w:cs="Arial"/>
          <w:sz w:val="24"/>
          <w:szCs w:val="24"/>
        </w:rPr>
        <w:t xml:space="preserve"> veinte años investiga</w:t>
      </w:r>
      <w:r>
        <w:rPr>
          <w:rFonts w:ascii="Arial" w:hAnsi="Arial" w:cs="Arial"/>
          <w:sz w:val="24"/>
          <w:szCs w:val="24"/>
        </w:rPr>
        <w:t>dos</w:t>
      </w:r>
      <w:r w:rsidRPr="00995225">
        <w:rPr>
          <w:rFonts w:ascii="Arial" w:hAnsi="Arial" w:cs="Arial"/>
          <w:sz w:val="24"/>
          <w:szCs w:val="24"/>
        </w:rPr>
        <w:t xml:space="preserve">. En el volumen IX, titulado </w:t>
      </w:r>
      <w:r w:rsidRPr="007378B4">
        <w:rPr>
          <w:rFonts w:ascii="Arial" w:hAnsi="Arial" w:cs="Arial"/>
          <w:i/>
          <w:iCs/>
          <w:sz w:val="24"/>
          <w:szCs w:val="24"/>
        </w:rPr>
        <w:t>“Recomendaciones de la CVR: Hacia la Reconciliación”,</w:t>
      </w:r>
      <w:r w:rsidRPr="00995225">
        <w:rPr>
          <w:rFonts w:ascii="Arial" w:hAnsi="Arial" w:cs="Arial"/>
          <w:sz w:val="24"/>
          <w:szCs w:val="24"/>
        </w:rPr>
        <w:t xml:space="preserve"> la Comisión propone una serie de medidas para garantizar que los abusos violentos que los peruanos habían sufrido no volvieran a ocurrir. Esas recomendaciones incluyen un Plan de Reparaciones</w:t>
      </w:r>
      <w:r>
        <w:rPr>
          <w:rFonts w:ascii="Arial" w:hAnsi="Arial" w:cs="Arial"/>
          <w:sz w:val="24"/>
          <w:szCs w:val="24"/>
        </w:rPr>
        <w:t xml:space="preserve"> (PR)</w:t>
      </w:r>
      <w:r w:rsidRPr="00995225">
        <w:rPr>
          <w:rFonts w:ascii="Arial" w:hAnsi="Arial" w:cs="Arial"/>
          <w:sz w:val="24"/>
          <w:szCs w:val="24"/>
        </w:rPr>
        <w:t xml:space="preserve"> detallado y completo.</w:t>
      </w:r>
    </w:p>
    <w:p w:rsidR="00A22429" w:rsidRDefault="00A22429" w:rsidP="00995225">
      <w:pPr>
        <w:spacing w:after="0" w:line="360" w:lineRule="auto"/>
        <w:ind w:firstLine="708"/>
        <w:jc w:val="both"/>
        <w:rPr>
          <w:rFonts w:ascii="Arial" w:hAnsi="Arial" w:cs="Arial"/>
          <w:sz w:val="24"/>
          <w:szCs w:val="24"/>
        </w:rPr>
      </w:pPr>
      <w:r w:rsidRPr="00995225">
        <w:rPr>
          <w:rFonts w:ascii="Arial" w:hAnsi="Arial" w:cs="Arial"/>
          <w:sz w:val="24"/>
          <w:szCs w:val="24"/>
        </w:rPr>
        <w:t>La CVR bas</w:t>
      </w:r>
      <w:r>
        <w:rPr>
          <w:rFonts w:ascii="Arial" w:hAnsi="Arial" w:cs="Arial"/>
          <w:sz w:val="24"/>
          <w:szCs w:val="24"/>
        </w:rPr>
        <w:t>ó</w:t>
      </w:r>
      <w:r w:rsidRPr="00995225">
        <w:rPr>
          <w:rFonts w:ascii="Arial" w:hAnsi="Arial" w:cs="Arial"/>
          <w:sz w:val="24"/>
          <w:szCs w:val="24"/>
        </w:rPr>
        <w:t xml:space="preserve"> su PR en tres aspectos: legal, ético y político. En lo que respecta al primer aspecto, la CVR señaló la obligación de reparar, que se encuentra tanto en la legislación peruana </w:t>
      </w:r>
      <w:r>
        <w:rPr>
          <w:rFonts w:ascii="Arial" w:hAnsi="Arial" w:cs="Arial"/>
          <w:sz w:val="24"/>
          <w:szCs w:val="24"/>
        </w:rPr>
        <w:t>como en</w:t>
      </w:r>
      <w:r w:rsidRPr="00995225">
        <w:rPr>
          <w:rFonts w:ascii="Arial" w:hAnsi="Arial" w:cs="Arial"/>
          <w:sz w:val="24"/>
          <w:szCs w:val="24"/>
        </w:rPr>
        <w:t xml:space="preserve"> el derecho internacional de los derechos humanos. La CVR también arguyó que el Estado no sólo era responsable de repara</w:t>
      </w:r>
      <w:r>
        <w:rPr>
          <w:rFonts w:ascii="Arial" w:hAnsi="Arial" w:cs="Arial"/>
          <w:sz w:val="24"/>
          <w:szCs w:val="24"/>
        </w:rPr>
        <w:t>r</w:t>
      </w:r>
      <w:r w:rsidRPr="00995225">
        <w:rPr>
          <w:rFonts w:ascii="Arial" w:hAnsi="Arial" w:cs="Arial"/>
          <w:sz w:val="24"/>
          <w:szCs w:val="24"/>
        </w:rPr>
        <w:t xml:space="preserve"> los abusos cometidos por sus agentes, sino también de no prevenir ni responder adecuadamente los abusos de los agentes privados (principalmente</w:t>
      </w:r>
      <w:r>
        <w:rPr>
          <w:rFonts w:ascii="Arial" w:hAnsi="Arial" w:cs="Arial"/>
          <w:sz w:val="24"/>
          <w:szCs w:val="24"/>
        </w:rPr>
        <w:t>,</w:t>
      </w:r>
      <w:r w:rsidRPr="00995225">
        <w:rPr>
          <w:rFonts w:ascii="Arial" w:hAnsi="Arial" w:cs="Arial"/>
          <w:sz w:val="24"/>
          <w:szCs w:val="24"/>
        </w:rPr>
        <w:t xml:space="preserve"> Sendero Luminoso). Siguiendo una importante jurisprudencia de la Corte Interamericana (el caso Velásquez Rodríguez), la CVR hizo hincapié en el deber del Estado </w:t>
      </w:r>
      <w:r>
        <w:rPr>
          <w:rFonts w:ascii="Arial" w:hAnsi="Arial" w:cs="Arial"/>
          <w:sz w:val="24"/>
          <w:szCs w:val="24"/>
        </w:rPr>
        <w:t xml:space="preserve">de </w:t>
      </w:r>
      <w:r w:rsidRPr="00995225">
        <w:rPr>
          <w:rFonts w:ascii="Arial" w:hAnsi="Arial" w:cs="Arial"/>
          <w:sz w:val="24"/>
          <w:szCs w:val="24"/>
        </w:rPr>
        <w:t>garantizar el respeto de los derechos humanos y, en caso de abusos</w:t>
      </w:r>
      <w:r>
        <w:rPr>
          <w:rFonts w:ascii="Arial" w:hAnsi="Arial" w:cs="Arial"/>
          <w:sz w:val="24"/>
          <w:szCs w:val="24"/>
        </w:rPr>
        <w:t xml:space="preserve"> serios</w:t>
      </w:r>
      <w:r w:rsidRPr="00995225">
        <w:rPr>
          <w:rFonts w:ascii="Arial" w:hAnsi="Arial" w:cs="Arial"/>
          <w:sz w:val="24"/>
          <w:szCs w:val="24"/>
        </w:rPr>
        <w:t xml:space="preserve">, </w:t>
      </w:r>
      <w:r>
        <w:rPr>
          <w:rFonts w:ascii="Arial" w:hAnsi="Arial" w:cs="Arial"/>
          <w:sz w:val="24"/>
          <w:szCs w:val="24"/>
        </w:rPr>
        <w:t xml:space="preserve">de </w:t>
      </w:r>
      <w:r w:rsidRPr="00995225">
        <w:rPr>
          <w:rFonts w:ascii="Arial" w:hAnsi="Arial" w:cs="Arial"/>
          <w:sz w:val="24"/>
          <w:szCs w:val="24"/>
        </w:rPr>
        <w:t>reparar el daño sufrido.</w:t>
      </w:r>
    </w:p>
    <w:p w:rsidR="00A22429" w:rsidRDefault="00A22429" w:rsidP="00995225">
      <w:pPr>
        <w:spacing w:after="0" w:line="360" w:lineRule="auto"/>
        <w:ind w:firstLine="708"/>
        <w:jc w:val="both"/>
        <w:rPr>
          <w:rFonts w:ascii="Arial" w:hAnsi="Arial" w:cs="Arial"/>
          <w:sz w:val="24"/>
          <w:szCs w:val="24"/>
        </w:rPr>
      </w:pPr>
      <w:r w:rsidRPr="00995225">
        <w:rPr>
          <w:rFonts w:ascii="Arial" w:hAnsi="Arial" w:cs="Arial"/>
          <w:sz w:val="24"/>
          <w:szCs w:val="24"/>
        </w:rPr>
        <w:t xml:space="preserve">La CVR también afirma su propuesta </w:t>
      </w:r>
      <w:r>
        <w:rPr>
          <w:rFonts w:ascii="Arial" w:hAnsi="Arial" w:cs="Arial"/>
          <w:sz w:val="24"/>
          <w:szCs w:val="24"/>
        </w:rPr>
        <w:t xml:space="preserve">ética </w:t>
      </w:r>
      <w:r w:rsidRPr="00995225">
        <w:rPr>
          <w:rFonts w:ascii="Arial" w:hAnsi="Arial" w:cs="Arial"/>
          <w:sz w:val="24"/>
          <w:szCs w:val="24"/>
        </w:rPr>
        <w:t>de reparación. Arguye que en el período post-conflicto es particularmente importante mostrar a las víctimas una prueba tangible de apoyo y solidaridad</w:t>
      </w:r>
      <w:r>
        <w:rPr>
          <w:rFonts w:ascii="Arial" w:hAnsi="Arial" w:cs="Arial"/>
          <w:sz w:val="24"/>
          <w:szCs w:val="24"/>
        </w:rPr>
        <w:t>,</w:t>
      </w:r>
      <w:r w:rsidRPr="00995225">
        <w:rPr>
          <w:rFonts w:ascii="Arial" w:hAnsi="Arial" w:cs="Arial"/>
          <w:sz w:val="24"/>
          <w:szCs w:val="24"/>
        </w:rPr>
        <w:t xml:space="preserve"> que pueda inculcar al menos un poco de confianza en aquellos que han perdido</w:t>
      </w:r>
      <w:r>
        <w:rPr>
          <w:rFonts w:ascii="Arial" w:hAnsi="Arial" w:cs="Arial"/>
          <w:sz w:val="24"/>
          <w:szCs w:val="24"/>
        </w:rPr>
        <w:t xml:space="preserve"> mucho,</w:t>
      </w:r>
      <w:r w:rsidRPr="00995225">
        <w:rPr>
          <w:rFonts w:ascii="Arial" w:hAnsi="Arial" w:cs="Arial"/>
          <w:sz w:val="24"/>
          <w:szCs w:val="24"/>
        </w:rPr>
        <w:t xml:space="preserve"> aún cuando también se trataba de personas con pleno</w:t>
      </w:r>
      <w:r>
        <w:rPr>
          <w:rFonts w:ascii="Arial" w:hAnsi="Arial" w:cs="Arial"/>
          <w:sz w:val="24"/>
          <w:szCs w:val="24"/>
        </w:rPr>
        <w:t>s</w:t>
      </w:r>
      <w:r w:rsidRPr="00995225">
        <w:rPr>
          <w:rFonts w:ascii="Arial" w:hAnsi="Arial" w:cs="Arial"/>
          <w:sz w:val="24"/>
          <w:szCs w:val="24"/>
        </w:rPr>
        <w:t xml:space="preserve"> derecho</w:t>
      </w:r>
      <w:r>
        <w:rPr>
          <w:rFonts w:ascii="Arial" w:hAnsi="Arial" w:cs="Arial"/>
          <w:sz w:val="24"/>
          <w:szCs w:val="24"/>
        </w:rPr>
        <w:t>s</w:t>
      </w:r>
      <w:r w:rsidRPr="00995225">
        <w:rPr>
          <w:rFonts w:ascii="Arial" w:hAnsi="Arial" w:cs="Arial"/>
          <w:sz w:val="24"/>
          <w:szCs w:val="24"/>
        </w:rPr>
        <w:t xml:space="preserve"> en la sociedad. Así, el Estado necesita realizar un gesto</w:t>
      </w:r>
      <w:r>
        <w:rPr>
          <w:rFonts w:ascii="Arial" w:hAnsi="Arial" w:cs="Arial"/>
          <w:sz w:val="24"/>
          <w:szCs w:val="24"/>
        </w:rPr>
        <w:t>,</w:t>
      </w:r>
      <w:r w:rsidRPr="00995225">
        <w:rPr>
          <w:rFonts w:ascii="Arial" w:hAnsi="Arial" w:cs="Arial"/>
          <w:sz w:val="24"/>
          <w:szCs w:val="24"/>
        </w:rPr>
        <w:t xml:space="preserve"> a través de sus acciones y en nombre de todos los peruanos, reconociendo el daño causado a las víctimas y sus familias, </w:t>
      </w:r>
      <w:r>
        <w:rPr>
          <w:rFonts w:ascii="Arial" w:hAnsi="Arial" w:cs="Arial"/>
          <w:sz w:val="24"/>
          <w:szCs w:val="24"/>
        </w:rPr>
        <w:t>r</w:t>
      </w:r>
      <w:r w:rsidRPr="00995225">
        <w:rPr>
          <w:rFonts w:ascii="Arial" w:hAnsi="Arial" w:cs="Arial"/>
          <w:sz w:val="24"/>
          <w:szCs w:val="24"/>
        </w:rPr>
        <w:t>eafirmando su dignidad y su condición de ciudadanos. Las reparaciones sería</w:t>
      </w:r>
      <w:r>
        <w:rPr>
          <w:rFonts w:ascii="Arial" w:hAnsi="Arial" w:cs="Arial"/>
          <w:sz w:val="24"/>
          <w:szCs w:val="24"/>
        </w:rPr>
        <w:t>n</w:t>
      </w:r>
      <w:r w:rsidRPr="00995225">
        <w:rPr>
          <w:rFonts w:ascii="Arial" w:hAnsi="Arial" w:cs="Arial"/>
          <w:sz w:val="24"/>
          <w:szCs w:val="24"/>
        </w:rPr>
        <w:t xml:space="preserve"> el modo de concretar ese reconocimiento. Además, debido a que la CVR recomendó que el Estado repare tanto a las víctimas del Estado como de los los grupos insurgentes, el PR trataría </w:t>
      </w:r>
      <w:r>
        <w:rPr>
          <w:rFonts w:ascii="Arial" w:hAnsi="Arial" w:cs="Arial"/>
          <w:sz w:val="24"/>
          <w:szCs w:val="24"/>
        </w:rPr>
        <w:t xml:space="preserve">a </w:t>
      </w:r>
      <w:r w:rsidRPr="00995225">
        <w:rPr>
          <w:rFonts w:ascii="Arial" w:hAnsi="Arial" w:cs="Arial"/>
          <w:sz w:val="24"/>
          <w:szCs w:val="24"/>
        </w:rPr>
        <w:t>ambos grupos de manera equitativa.</w:t>
      </w:r>
    </w:p>
    <w:p w:rsidR="00A22429" w:rsidRDefault="00A22429" w:rsidP="00995225">
      <w:pPr>
        <w:spacing w:after="0" w:line="360" w:lineRule="auto"/>
        <w:ind w:firstLine="708"/>
        <w:jc w:val="both"/>
        <w:rPr>
          <w:rFonts w:ascii="Arial" w:hAnsi="Arial" w:cs="Arial"/>
          <w:sz w:val="24"/>
          <w:szCs w:val="24"/>
        </w:rPr>
      </w:pPr>
      <w:r w:rsidRPr="00995225">
        <w:rPr>
          <w:rFonts w:ascii="Arial" w:hAnsi="Arial" w:cs="Arial"/>
          <w:sz w:val="24"/>
          <w:szCs w:val="24"/>
        </w:rPr>
        <w:t>Finalmente, la CVR justific</w:t>
      </w:r>
      <w:r>
        <w:rPr>
          <w:rFonts w:ascii="Arial" w:hAnsi="Arial" w:cs="Arial"/>
          <w:sz w:val="24"/>
          <w:szCs w:val="24"/>
        </w:rPr>
        <w:t>ó</w:t>
      </w:r>
      <w:r w:rsidRPr="00995225">
        <w:rPr>
          <w:rFonts w:ascii="Arial" w:hAnsi="Arial" w:cs="Arial"/>
          <w:sz w:val="24"/>
          <w:szCs w:val="24"/>
        </w:rPr>
        <w:t xml:space="preserve"> su decisión de diseñar una política </w:t>
      </w:r>
      <w:r>
        <w:rPr>
          <w:rFonts w:ascii="Arial" w:hAnsi="Arial" w:cs="Arial"/>
          <w:sz w:val="24"/>
          <w:szCs w:val="24"/>
        </w:rPr>
        <w:t xml:space="preserve">nacional </w:t>
      </w:r>
      <w:r w:rsidRPr="00995225">
        <w:rPr>
          <w:rFonts w:ascii="Arial" w:hAnsi="Arial" w:cs="Arial"/>
          <w:sz w:val="24"/>
          <w:szCs w:val="24"/>
        </w:rPr>
        <w:t>de reparación por razones políticas: los tribunales no estaban en condiciones de responder a las violaciones masivas y sistemáticas que se produ</w:t>
      </w:r>
      <w:r>
        <w:rPr>
          <w:rFonts w:ascii="Arial" w:hAnsi="Arial" w:cs="Arial"/>
          <w:sz w:val="24"/>
          <w:szCs w:val="24"/>
        </w:rPr>
        <w:t>jeron</w:t>
      </w:r>
      <w:r w:rsidRPr="00995225">
        <w:rPr>
          <w:rFonts w:ascii="Arial" w:hAnsi="Arial" w:cs="Arial"/>
          <w:sz w:val="24"/>
          <w:szCs w:val="24"/>
        </w:rPr>
        <w:t xml:space="preserve"> y que d</w:t>
      </w:r>
      <w:r>
        <w:rPr>
          <w:rFonts w:ascii="Arial" w:hAnsi="Arial" w:cs="Arial"/>
          <w:sz w:val="24"/>
          <w:szCs w:val="24"/>
        </w:rPr>
        <w:t xml:space="preserve">ieron </w:t>
      </w:r>
      <w:r w:rsidRPr="00995225">
        <w:rPr>
          <w:rFonts w:ascii="Arial" w:hAnsi="Arial" w:cs="Arial"/>
          <w:sz w:val="24"/>
          <w:szCs w:val="24"/>
        </w:rPr>
        <w:t xml:space="preserve">lugar a tantas víctimas, tanto individuales como colectivas. La CVR sostuvo que a través de la administración de una política </w:t>
      </w:r>
      <w:r>
        <w:rPr>
          <w:rFonts w:ascii="Arial" w:hAnsi="Arial" w:cs="Arial"/>
          <w:sz w:val="24"/>
          <w:szCs w:val="24"/>
        </w:rPr>
        <w:t xml:space="preserve">nacional </w:t>
      </w:r>
      <w:r w:rsidRPr="00995225">
        <w:rPr>
          <w:rFonts w:ascii="Arial" w:hAnsi="Arial" w:cs="Arial"/>
          <w:sz w:val="24"/>
          <w:szCs w:val="24"/>
        </w:rPr>
        <w:t xml:space="preserve">de reparaciones en lugar de una supervisada judicialmente, el Estado sería capaz de responder a un universo más amplio de víctimas, y no sólo a casos individuales </w:t>
      </w:r>
      <w:r>
        <w:rPr>
          <w:rFonts w:ascii="Arial" w:hAnsi="Arial" w:cs="Arial"/>
          <w:sz w:val="24"/>
          <w:szCs w:val="24"/>
        </w:rPr>
        <w:t xml:space="preserve">como los que </w:t>
      </w:r>
      <w:r w:rsidRPr="00995225">
        <w:rPr>
          <w:rFonts w:ascii="Arial" w:hAnsi="Arial" w:cs="Arial"/>
          <w:sz w:val="24"/>
          <w:szCs w:val="24"/>
        </w:rPr>
        <w:t>se ha</w:t>
      </w:r>
      <w:r>
        <w:rPr>
          <w:rFonts w:ascii="Arial" w:hAnsi="Arial" w:cs="Arial"/>
          <w:sz w:val="24"/>
          <w:szCs w:val="24"/>
        </w:rPr>
        <w:t>n</w:t>
      </w:r>
      <w:r w:rsidRPr="00995225">
        <w:rPr>
          <w:rFonts w:ascii="Arial" w:hAnsi="Arial" w:cs="Arial"/>
          <w:sz w:val="24"/>
          <w:szCs w:val="24"/>
        </w:rPr>
        <w:t xml:space="preserve"> abordado a través de la Comisión Interamericana</w:t>
      </w:r>
      <w:r>
        <w:rPr>
          <w:rFonts w:ascii="Arial" w:hAnsi="Arial" w:cs="Arial"/>
          <w:sz w:val="24"/>
          <w:szCs w:val="24"/>
        </w:rPr>
        <w:t xml:space="preserve"> de Derechos Humanos</w:t>
      </w:r>
      <w:r w:rsidRPr="00995225">
        <w:rPr>
          <w:rFonts w:ascii="Arial" w:hAnsi="Arial" w:cs="Arial"/>
          <w:sz w:val="24"/>
          <w:szCs w:val="24"/>
        </w:rPr>
        <w:t xml:space="preserve">. De esta manera, una respuesta política haría más justicia y lograría atender un mayor número de víctimas </w:t>
      </w:r>
      <w:r>
        <w:rPr>
          <w:rFonts w:ascii="Arial" w:hAnsi="Arial" w:cs="Arial"/>
          <w:sz w:val="24"/>
          <w:szCs w:val="24"/>
        </w:rPr>
        <w:t>d</w:t>
      </w:r>
      <w:r w:rsidRPr="00995225">
        <w:rPr>
          <w:rFonts w:ascii="Arial" w:hAnsi="Arial" w:cs="Arial"/>
          <w:sz w:val="24"/>
          <w:szCs w:val="24"/>
        </w:rPr>
        <w:t>e lo que el sistema judicial era capaz, y puede ser tanto económica como políticamente viable.</w:t>
      </w:r>
    </w:p>
    <w:p w:rsidR="00A22429" w:rsidRDefault="00A22429" w:rsidP="00995225">
      <w:pPr>
        <w:spacing w:after="0" w:line="360" w:lineRule="auto"/>
        <w:ind w:firstLine="708"/>
        <w:jc w:val="both"/>
        <w:rPr>
          <w:rFonts w:ascii="Arial" w:hAnsi="Arial" w:cs="Arial"/>
          <w:sz w:val="24"/>
          <w:szCs w:val="24"/>
        </w:rPr>
      </w:pPr>
      <w:r w:rsidRPr="00995225">
        <w:rPr>
          <w:rFonts w:ascii="Arial" w:hAnsi="Arial" w:cs="Arial"/>
          <w:sz w:val="24"/>
          <w:szCs w:val="24"/>
        </w:rPr>
        <w:t xml:space="preserve">La CVR recomendó que el PR tenga como principal objetivo </w:t>
      </w:r>
      <w:r>
        <w:rPr>
          <w:rFonts w:ascii="Arial" w:hAnsi="Arial" w:cs="Arial"/>
          <w:sz w:val="24"/>
          <w:szCs w:val="24"/>
        </w:rPr>
        <w:t>“</w:t>
      </w:r>
      <w:r w:rsidRPr="00995225">
        <w:rPr>
          <w:rFonts w:ascii="Arial" w:hAnsi="Arial" w:cs="Arial"/>
          <w:sz w:val="24"/>
          <w:szCs w:val="24"/>
        </w:rPr>
        <w:t>reparar y compensar la violación de los derechos humanos, así como las pérdidas sociales, morales y materiales y los daños sufridos por las víctimas como consecuencia del conflicto armado interno</w:t>
      </w:r>
      <w:r>
        <w:rPr>
          <w:rFonts w:ascii="Arial" w:hAnsi="Arial" w:cs="Arial"/>
          <w:sz w:val="24"/>
          <w:szCs w:val="24"/>
        </w:rPr>
        <w:t>”</w:t>
      </w:r>
      <w:r w:rsidRPr="00995225">
        <w:rPr>
          <w:rFonts w:ascii="Arial" w:hAnsi="Arial" w:cs="Arial"/>
          <w:sz w:val="24"/>
          <w:szCs w:val="24"/>
        </w:rPr>
        <w:t>. Combina medidas colectivas e individuales y responde a los daños colectivos que sufren las comunidades</w:t>
      </w:r>
      <w:r>
        <w:rPr>
          <w:rFonts w:ascii="Arial" w:hAnsi="Arial" w:cs="Arial"/>
          <w:sz w:val="24"/>
          <w:szCs w:val="24"/>
        </w:rPr>
        <w:t>,</w:t>
      </w:r>
      <w:r w:rsidRPr="00995225">
        <w:rPr>
          <w:rFonts w:ascii="Arial" w:hAnsi="Arial" w:cs="Arial"/>
          <w:sz w:val="24"/>
          <w:szCs w:val="24"/>
        </w:rPr>
        <w:t xml:space="preserve"> grupos, las víctimas </w:t>
      </w:r>
      <w:r>
        <w:rPr>
          <w:rFonts w:ascii="Arial" w:hAnsi="Arial" w:cs="Arial"/>
          <w:sz w:val="24"/>
          <w:szCs w:val="24"/>
        </w:rPr>
        <w:t xml:space="preserve">y </w:t>
      </w:r>
      <w:r w:rsidRPr="00995225">
        <w:rPr>
          <w:rFonts w:ascii="Arial" w:hAnsi="Arial" w:cs="Arial"/>
          <w:sz w:val="24"/>
          <w:szCs w:val="24"/>
        </w:rPr>
        <w:t>sus familias. El PR se compone de seis programas recomendados de acuerdo a los tipos de las víctimas</w:t>
      </w:r>
      <w:r>
        <w:rPr>
          <w:rFonts w:ascii="Arial" w:hAnsi="Arial" w:cs="Arial"/>
          <w:sz w:val="24"/>
          <w:szCs w:val="24"/>
        </w:rPr>
        <w:t>, de</w:t>
      </w:r>
      <w:r w:rsidRPr="00995225">
        <w:rPr>
          <w:rFonts w:ascii="Arial" w:hAnsi="Arial" w:cs="Arial"/>
          <w:sz w:val="24"/>
          <w:szCs w:val="24"/>
        </w:rPr>
        <w:t xml:space="preserve"> violaciones y el daño sufrido.</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0"/>
        <w:gridCol w:w="6318"/>
      </w:tblGrid>
      <w:tr w:rsidR="00A22429" w:rsidRPr="00442162">
        <w:tc>
          <w:tcPr>
            <w:tcW w:w="2660" w:type="dxa"/>
          </w:tcPr>
          <w:p w:rsidR="00A22429" w:rsidRPr="00442162" w:rsidRDefault="00A22429" w:rsidP="00442162">
            <w:pPr>
              <w:spacing w:after="0" w:line="360" w:lineRule="auto"/>
              <w:jc w:val="both"/>
              <w:rPr>
                <w:rFonts w:ascii="Arial" w:hAnsi="Arial" w:cs="Arial"/>
                <w:b/>
                <w:bCs/>
                <w:sz w:val="24"/>
                <w:szCs w:val="24"/>
              </w:rPr>
            </w:pPr>
            <w:r w:rsidRPr="00442162">
              <w:rPr>
                <w:rFonts w:ascii="Arial" w:hAnsi="Arial" w:cs="Arial"/>
                <w:b/>
                <w:bCs/>
                <w:sz w:val="24"/>
                <w:szCs w:val="24"/>
              </w:rPr>
              <w:t>Reparaciones simbólicas</w:t>
            </w:r>
          </w:p>
        </w:tc>
        <w:tc>
          <w:tcPr>
            <w:tcW w:w="6318" w:type="dxa"/>
          </w:tcPr>
          <w:p w:rsidR="00A22429" w:rsidRPr="00442162" w:rsidRDefault="00A22429" w:rsidP="00442162">
            <w:pPr>
              <w:spacing w:after="0" w:line="360" w:lineRule="auto"/>
              <w:jc w:val="both"/>
              <w:rPr>
                <w:rFonts w:ascii="Arial" w:hAnsi="Arial" w:cs="Arial"/>
                <w:sz w:val="24"/>
                <w:szCs w:val="24"/>
              </w:rPr>
            </w:pPr>
            <w:r w:rsidRPr="00442162">
              <w:rPr>
                <w:rFonts w:ascii="Arial" w:hAnsi="Arial" w:cs="Arial"/>
                <w:sz w:val="24"/>
                <w:szCs w:val="24"/>
              </w:rPr>
              <w:t>Reconstrucción de los vínculos sociales rotos por la violencia por medio de gestos públicos, actos de reconocimiento, monumentos y acciones que conduzcan a la reconciliación.</w:t>
            </w:r>
          </w:p>
        </w:tc>
      </w:tr>
      <w:tr w:rsidR="00A22429" w:rsidRPr="00442162">
        <w:tc>
          <w:tcPr>
            <w:tcW w:w="2660" w:type="dxa"/>
          </w:tcPr>
          <w:p w:rsidR="00A22429" w:rsidRPr="00442162" w:rsidRDefault="00A22429" w:rsidP="00442162">
            <w:pPr>
              <w:spacing w:after="0" w:line="360" w:lineRule="auto"/>
              <w:jc w:val="both"/>
              <w:rPr>
                <w:rFonts w:ascii="Arial" w:hAnsi="Arial" w:cs="Arial"/>
                <w:b/>
                <w:bCs/>
                <w:sz w:val="24"/>
                <w:szCs w:val="24"/>
              </w:rPr>
            </w:pPr>
            <w:r w:rsidRPr="00442162">
              <w:rPr>
                <w:rFonts w:ascii="Arial" w:hAnsi="Arial" w:cs="Arial"/>
                <w:b/>
                <w:bCs/>
                <w:sz w:val="24"/>
                <w:szCs w:val="24"/>
              </w:rPr>
              <w:t>Cuidado de la salud</w:t>
            </w:r>
          </w:p>
        </w:tc>
        <w:tc>
          <w:tcPr>
            <w:tcW w:w="6318" w:type="dxa"/>
          </w:tcPr>
          <w:p w:rsidR="00A22429" w:rsidRPr="00442162" w:rsidRDefault="00A22429" w:rsidP="00442162">
            <w:pPr>
              <w:spacing w:after="0" w:line="360" w:lineRule="auto"/>
              <w:jc w:val="both"/>
              <w:rPr>
                <w:rFonts w:ascii="Arial" w:hAnsi="Arial" w:cs="Arial"/>
                <w:sz w:val="24"/>
                <w:szCs w:val="24"/>
              </w:rPr>
            </w:pPr>
            <w:r w:rsidRPr="00442162">
              <w:rPr>
                <w:rFonts w:ascii="Arial" w:hAnsi="Arial" w:cs="Arial"/>
                <w:sz w:val="24"/>
                <w:szCs w:val="24"/>
              </w:rPr>
              <w:t>Ayudar a la población afectada a recuperarse, tanto física como mentalmente. Reconstrucción de las posibles redes sociales de apoyo y fortalecimiento social e individual, intervenciones comunitarias, acceso a la salud y atención preventiva.</w:t>
            </w:r>
          </w:p>
        </w:tc>
      </w:tr>
      <w:tr w:rsidR="00A22429" w:rsidRPr="00442162">
        <w:tc>
          <w:tcPr>
            <w:tcW w:w="2660" w:type="dxa"/>
          </w:tcPr>
          <w:p w:rsidR="00A22429" w:rsidRPr="00442162" w:rsidRDefault="00A22429" w:rsidP="00442162">
            <w:pPr>
              <w:spacing w:after="0" w:line="360" w:lineRule="auto"/>
              <w:jc w:val="both"/>
              <w:rPr>
                <w:rFonts w:ascii="Arial" w:hAnsi="Arial" w:cs="Arial"/>
                <w:b/>
                <w:bCs/>
                <w:sz w:val="24"/>
                <w:szCs w:val="24"/>
              </w:rPr>
            </w:pPr>
            <w:r w:rsidRPr="00442162">
              <w:rPr>
                <w:rFonts w:ascii="Arial" w:hAnsi="Arial" w:cs="Arial"/>
                <w:b/>
                <w:bCs/>
                <w:sz w:val="24"/>
                <w:szCs w:val="24"/>
              </w:rPr>
              <w:t>Educación</w:t>
            </w:r>
          </w:p>
        </w:tc>
        <w:tc>
          <w:tcPr>
            <w:tcW w:w="6318" w:type="dxa"/>
          </w:tcPr>
          <w:p w:rsidR="00A22429" w:rsidRPr="00442162" w:rsidRDefault="00A22429" w:rsidP="00442162">
            <w:pPr>
              <w:spacing w:after="0" w:line="360" w:lineRule="auto"/>
              <w:jc w:val="both"/>
              <w:rPr>
                <w:rFonts w:ascii="Arial" w:hAnsi="Arial" w:cs="Arial"/>
                <w:sz w:val="24"/>
                <w:szCs w:val="24"/>
              </w:rPr>
            </w:pPr>
            <w:r w:rsidRPr="00442162">
              <w:rPr>
                <w:rFonts w:ascii="Arial" w:hAnsi="Arial" w:cs="Arial"/>
                <w:sz w:val="24"/>
                <w:szCs w:val="24"/>
              </w:rPr>
              <w:t>Nuevas o mejores oportunidades para el acceso de aquellas personas que perdieron su oportunidad de recibir una educación adecuada o completar sus estudios; becas y programas educativos especiales.</w:t>
            </w:r>
          </w:p>
        </w:tc>
      </w:tr>
      <w:tr w:rsidR="00A22429" w:rsidRPr="00442162">
        <w:tc>
          <w:tcPr>
            <w:tcW w:w="2660" w:type="dxa"/>
          </w:tcPr>
          <w:p w:rsidR="00A22429" w:rsidRPr="00442162" w:rsidRDefault="00A22429" w:rsidP="00442162">
            <w:pPr>
              <w:spacing w:after="0" w:line="360" w:lineRule="auto"/>
              <w:jc w:val="both"/>
              <w:rPr>
                <w:rFonts w:ascii="Arial" w:hAnsi="Arial" w:cs="Arial"/>
                <w:b/>
                <w:bCs/>
                <w:sz w:val="24"/>
                <w:szCs w:val="24"/>
              </w:rPr>
            </w:pPr>
            <w:r w:rsidRPr="00442162">
              <w:rPr>
                <w:rFonts w:ascii="Arial" w:hAnsi="Arial" w:cs="Arial"/>
                <w:b/>
                <w:bCs/>
                <w:sz w:val="24"/>
                <w:szCs w:val="24"/>
              </w:rPr>
              <w:t>Restitución de derechos</w:t>
            </w:r>
          </w:p>
        </w:tc>
        <w:tc>
          <w:tcPr>
            <w:tcW w:w="6318" w:type="dxa"/>
          </w:tcPr>
          <w:p w:rsidR="00A22429" w:rsidRPr="00442162" w:rsidRDefault="00A22429" w:rsidP="00442162">
            <w:pPr>
              <w:spacing w:after="0" w:line="360" w:lineRule="auto"/>
              <w:jc w:val="both"/>
              <w:rPr>
                <w:rFonts w:ascii="Arial" w:hAnsi="Arial" w:cs="Arial"/>
                <w:sz w:val="24"/>
                <w:szCs w:val="24"/>
              </w:rPr>
            </w:pPr>
            <w:r w:rsidRPr="00442162">
              <w:rPr>
                <w:rFonts w:ascii="Arial" w:hAnsi="Arial" w:cs="Arial"/>
                <w:sz w:val="24"/>
                <w:szCs w:val="24"/>
              </w:rPr>
              <w:t>Restablecer el pleno y efectivo ejercicio de los derechos políticos y civiles de la ciudadanía a través de la rehabilitación judicial, que incluye la normalización de la situación jurídica de los desaparecidos y de personas contra las que se han emitido órdenes ilegales, purgar registros de antecedentes penales en los archivos judiciales y policiales, y asegurar el reemplazo de documentos de identidad.</w:t>
            </w:r>
          </w:p>
        </w:tc>
      </w:tr>
      <w:tr w:rsidR="00A22429" w:rsidRPr="00442162">
        <w:tc>
          <w:tcPr>
            <w:tcW w:w="2660" w:type="dxa"/>
          </w:tcPr>
          <w:p w:rsidR="00A22429" w:rsidRPr="00442162" w:rsidRDefault="00A22429" w:rsidP="00442162">
            <w:pPr>
              <w:spacing w:after="0" w:line="360" w:lineRule="auto"/>
              <w:jc w:val="both"/>
              <w:rPr>
                <w:rFonts w:ascii="Arial" w:hAnsi="Arial" w:cs="Arial"/>
                <w:b/>
                <w:bCs/>
                <w:sz w:val="24"/>
                <w:szCs w:val="24"/>
              </w:rPr>
            </w:pPr>
            <w:r w:rsidRPr="00442162">
              <w:rPr>
                <w:rFonts w:ascii="Arial" w:hAnsi="Arial" w:cs="Arial"/>
                <w:b/>
                <w:bCs/>
                <w:sz w:val="24"/>
                <w:szCs w:val="24"/>
              </w:rPr>
              <w:t>Reparaciones económicas</w:t>
            </w:r>
          </w:p>
        </w:tc>
        <w:tc>
          <w:tcPr>
            <w:tcW w:w="6318" w:type="dxa"/>
          </w:tcPr>
          <w:p w:rsidR="00A22429" w:rsidRPr="00442162" w:rsidRDefault="00A22429" w:rsidP="00442162">
            <w:pPr>
              <w:spacing w:after="0" w:line="360" w:lineRule="auto"/>
              <w:jc w:val="both"/>
              <w:rPr>
                <w:rFonts w:ascii="Arial" w:hAnsi="Arial" w:cs="Arial"/>
                <w:sz w:val="24"/>
                <w:szCs w:val="24"/>
              </w:rPr>
            </w:pPr>
            <w:r w:rsidRPr="00442162">
              <w:rPr>
                <w:rFonts w:ascii="Arial" w:hAnsi="Arial" w:cs="Arial"/>
                <w:sz w:val="24"/>
                <w:szCs w:val="24"/>
              </w:rPr>
              <w:t>Permitir a las víctimas y sus familias planear un futuro de dignidad y bienestar. Un conjunto limitado de las víctimas serían indemnizadas por daños y perjuicios a través de una pensión o un plan de compensación, a través de un esquema de costos que se presentó al Gobierno. Ninguna cantidad específica se recomendó públicamente.</w:t>
            </w:r>
          </w:p>
        </w:tc>
      </w:tr>
      <w:tr w:rsidR="00A22429" w:rsidRPr="00442162">
        <w:tc>
          <w:tcPr>
            <w:tcW w:w="2660" w:type="dxa"/>
          </w:tcPr>
          <w:p w:rsidR="00A22429" w:rsidRPr="00442162" w:rsidRDefault="00A22429" w:rsidP="00442162">
            <w:pPr>
              <w:spacing w:after="0" w:line="360" w:lineRule="auto"/>
              <w:jc w:val="both"/>
              <w:rPr>
                <w:rFonts w:ascii="Arial" w:hAnsi="Arial" w:cs="Arial"/>
                <w:b/>
                <w:bCs/>
                <w:sz w:val="24"/>
                <w:szCs w:val="24"/>
              </w:rPr>
            </w:pPr>
            <w:r w:rsidRPr="00442162">
              <w:rPr>
                <w:rFonts w:ascii="Arial" w:hAnsi="Arial" w:cs="Arial"/>
                <w:b/>
                <w:bCs/>
                <w:sz w:val="24"/>
                <w:szCs w:val="24"/>
              </w:rPr>
              <w:t>Reparaciones colectivas</w:t>
            </w:r>
          </w:p>
        </w:tc>
        <w:tc>
          <w:tcPr>
            <w:tcW w:w="6318" w:type="dxa"/>
          </w:tcPr>
          <w:p w:rsidR="00A22429" w:rsidRPr="00442162" w:rsidRDefault="00A22429" w:rsidP="00442162">
            <w:pPr>
              <w:spacing w:after="0" w:line="360" w:lineRule="auto"/>
              <w:jc w:val="both"/>
              <w:rPr>
                <w:rFonts w:ascii="Arial" w:hAnsi="Arial" w:cs="Arial"/>
                <w:sz w:val="24"/>
                <w:szCs w:val="24"/>
              </w:rPr>
            </w:pPr>
            <w:r w:rsidRPr="00442162">
              <w:rPr>
                <w:rFonts w:ascii="Arial" w:hAnsi="Arial" w:cs="Arial"/>
                <w:sz w:val="24"/>
                <w:szCs w:val="24"/>
              </w:rPr>
              <w:t>Contribuir a la reconstrucción y la consolidación de las comunidades y asentamientos (incluyendo la población desplazada) que perdieron infraestructura física y social, combinando los factores mencionados para definir las comunidades que serían atendidas y sus prioridades: creación de instituciones; recuperación y reconstrucción de la infraestructura para la producción; la provisión de servicios básicos y los proyectos de generación de ingresos, definidos con el apoyo de la comunidad.</w:t>
            </w:r>
          </w:p>
        </w:tc>
      </w:tr>
    </w:tbl>
    <w:p w:rsidR="00A22429" w:rsidRPr="00995225" w:rsidRDefault="00A22429" w:rsidP="00995225">
      <w:pPr>
        <w:spacing w:after="0" w:line="360" w:lineRule="auto"/>
        <w:jc w:val="both"/>
        <w:rPr>
          <w:rFonts w:ascii="Arial" w:hAnsi="Arial" w:cs="Arial"/>
          <w:sz w:val="24"/>
          <w:szCs w:val="24"/>
        </w:rPr>
      </w:pPr>
    </w:p>
    <w:p w:rsidR="00A22429" w:rsidRPr="00995225" w:rsidRDefault="00A22429" w:rsidP="00995225">
      <w:pPr>
        <w:spacing w:after="0" w:line="360" w:lineRule="auto"/>
        <w:ind w:firstLine="708"/>
        <w:jc w:val="both"/>
        <w:rPr>
          <w:rFonts w:ascii="Arial" w:hAnsi="Arial" w:cs="Arial"/>
          <w:sz w:val="24"/>
          <w:szCs w:val="24"/>
        </w:rPr>
      </w:pPr>
      <w:r w:rsidRPr="00995225">
        <w:rPr>
          <w:rFonts w:ascii="Arial" w:hAnsi="Arial" w:cs="Arial"/>
          <w:sz w:val="24"/>
          <w:szCs w:val="24"/>
        </w:rPr>
        <w:t xml:space="preserve">En agosto de 2006 el país conmemorará el tercer aniversario de la publicación del Informe Final de la CVR. Este hito resalta que el Perú </w:t>
      </w:r>
      <w:r>
        <w:rPr>
          <w:rFonts w:ascii="Arial" w:hAnsi="Arial" w:cs="Arial"/>
          <w:sz w:val="24"/>
          <w:szCs w:val="24"/>
        </w:rPr>
        <w:t>tiene</w:t>
      </w:r>
      <w:r w:rsidRPr="00995225">
        <w:rPr>
          <w:rFonts w:ascii="Arial" w:hAnsi="Arial" w:cs="Arial"/>
          <w:sz w:val="24"/>
          <w:szCs w:val="24"/>
        </w:rPr>
        <w:t xml:space="preserve"> algunos avances importantes en términos de desarrollo de un marco jurídico para la reparación, una gran mezcla de iniciativas</w:t>
      </w:r>
      <w:r>
        <w:rPr>
          <w:rFonts w:ascii="Arial" w:hAnsi="Arial" w:cs="Arial"/>
          <w:sz w:val="24"/>
          <w:szCs w:val="24"/>
        </w:rPr>
        <w:t>;</w:t>
      </w:r>
      <w:r w:rsidRPr="00995225">
        <w:rPr>
          <w:rFonts w:ascii="Arial" w:hAnsi="Arial" w:cs="Arial"/>
          <w:sz w:val="24"/>
          <w:szCs w:val="24"/>
        </w:rPr>
        <w:t xml:space="preserve"> pero, por lo menos hasta ahora,</w:t>
      </w:r>
      <w:r>
        <w:rPr>
          <w:rFonts w:ascii="Arial" w:hAnsi="Arial" w:cs="Arial"/>
          <w:sz w:val="24"/>
          <w:szCs w:val="24"/>
        </w:rPr>
        <w:t xml:space="preserve"> tiene</w:t>
      </w:r>
      <w:r w:rsidRPr="00995225">
        <w:rPr>
          <w:rFonts w:ascii="Arial" w:hAnsi="Arial" w:cs="Arial"/>
          <w:sz w:val="24"/>
          <w:szCs w:val="24"/>
        </w:rPr>
        <w:t xml:space="preserve"> pocos signos reales de una práctica nacional útil y eficaz de reparación.</w:t>
      </w:r>
    </w:p>
    <w:p w:rsidR="00A22429" w:rsidRDefault="00A22429" w:rsidP="00995225">
      <w:pPr>
        <w:spacing w:after="0" w:line="360" w:lineRule="auto"/>
        <w:ind w:firstLine="708"/>
        <w:jc w:val="both"/>
        <w:rPr>
          <w:rFonts w:ascii="Arial" w:hAnsi="Arial" w:cs="Arial"/>
          <w:sz w:val="24"/>
          <w:szCs w:val="24"/>
        </w:rPr>
      </w:pPr>
      <w:r w:rsidRPr="00995225">
        <w:rPr>
          <w:rFonts w:ascii="Arial" w:hAnsi="Arial" w:cs="Arial"/>
          <w:sz w:val="24"/>
          <w:szCs w:val="24"/>
        </w:rPr>
        <w:t xml:space="preserve">En febrero de 2004, el Ejecutivo creó una </w:t>
      </w:r>
      <w:r>
        <w:rPr>
          <w:rFonts w:ascii="Arial" w:hAnsi="Arial" w:cs="Arial"/>
          <w:sz w:val="24"/>
          <w:szCs w:val="24"/>
        </w:rPr>
        <w:t>“</w:t>
      </w:r>
      <w:r w:rsidRPr="00995225">
        <w:rPr>
          <w:rFonts w:ascii="Arial" w:hAnsi="Arial" w:cs="Arial"/>
          <w:sz w:val="24"/>
          <w:szCs w:val="24"/>
        </w:rPr>
        <w:t>Comisión Multisectorial de Alto Nivel a Cargo de las Acciones Estatales y Políticas en las áreas de Paz, Reparaciones Colectivas y Reconciliación Nacional</w:t>
      </w:r>
      <w:r>
        <w:rPr>
          <w:rFonts w:ascii="Arial" w:hAnsi="Arial" w:cs="Arial"/>
          <w:sz w:val="24"/>
          <w:szCs w:val="24"/>
        </w:rPr>
        <w:t>”</w:t>
      </w:r>
      <w:r w:rsidRPr="00995225">
        <w:rPr>
          <w:rFonts w:ascii="Arial" w:hAnsi="Arial" w:cs="Arial"/>
          <w:sz w:val="24"/>
          <w:szCs w:val="24"/>
        </w:rPr>
        <w:t xml:space="preserve"> (CMAN)</w:t>
      </w:r>
      <w:r w:rsidRPr="00995225">
        <w:rPr>
          <w:rStyle w:val="FootnoteReference"/>
          <w:rFonts w:ascii="Arial" w:hAnsi="Arial" w:cs="Arial"/>
          <w:sz w:val="24"/>
          <w:szCs w:val="24"/>
        </w:rPr>
        <w:footnoteReference w:id="5"/>
      </w:r>
      <w:r w:rsidRPr="00995225">
        <w:rPr>
          <w:rFonts w:ascii="Arial" w:hAnsi="Arial" w:cs="Arial"/>
          <w:sz w:val="24"/>
          <w:szCs w:val="24"/>
        </w:rPr>
        <w:t>. La CMAN acabó por desarrollar un Marco Programático para la Acción del Estado para la Paz, Reparación y Reconciliación Nacional, y el Programa Plurianual para el Plan de Reparaciones para el período 2005-2006, aprobado por el Ejecutivo en julio de 2005</w:t>
      </w:r>
      <w:r w:rsidRPr="00995225">
        <w:rPr>
          <w:rStyle w:val="FootnoteReference"/>
          <w:rFonts w:ascii="Arial" w:hAnsi="Arial" w:cs="Arial"/>
          <w:sz w:val="24"/>
          <w:szCs w:val="24"/>
        </w:rPr>
        <w:footnoteReference w:id="6"/>
      </w:r>
      <w:r w:rsidRPr="00995225">
        <w:rPr>
          <w:rFonts w:ascii="Arial" w:hAnsi="Arial" w:cs="Arial"/>
          <w:sz w:val="24"/>
          <w:szCs w:val="24"/>
        </w:rPr>
        <w:t>. El Programa Plurianual de la CMAN desarrolla todas las áreas programáticas del PR de la CVR, incluyendo diferentes medidas (con la importante excepción de las pensiones y la compensación individual), a pesar de la formulación original de la CMAN como un cuerpo que solamente atienda la política de desarrollo de las reparaciones colectivas.</w:t>
      </w:r>
    </w:p>
    <w:p w:rsidR="00A22429" w:rsidRPr="00995225" w:rsidRDefault="00A22429" w:rsidP="006571D5">
      <w:pPr>
        <w:spacing w:after="0" w:line="360" w:lineRule="auto"/>
        <w:jc w:val="center"/>
        <w:rPr>
          <w:rFonts w:ascii="Arial" w:hAnsi="Arial" w:cs="Arial"/>
          <w:sz w:val="24"/>
          <w:szCs w:val="24"/>
        </w:rPr>
      </w:pPr>
      <w:r w:rsidRPr="00437954">
        <w:rPr>
          <w:rFonts w:ascii="Arial" w:hAnsi="Arial" w:cs="Arial"/>
          <w:noProof/>
          <w:sz w:val="24"/>
          <w:szCs w:val="24"/>
          <w:lang w:val="es-ES"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i1025" type="#_x0000_t75" alt="trd.jpg" style="width:329.25pt;height:227.25pt;visibility:visible">
            <v:imagedata r:id="rId6" o:title=""/>
          </v:shape>
        </w:pict>
      </w:r>
    </w:p>
    <w:p w:rsidR="00A22429" w:rsidRPr="00995225" w:rsidRDefault="00A22429" w:rsidP="00540BD4">
      <w:pPr>
        <w:spacing w:after="0" w:line="360" w:lineRule="auto"/>
        <w:jc w:val="center"/>
        <w:outlineLvl w:val="0"/>
        <w:rPr>
          <w:rFonts w:ascii="Arial" w:hAnsi="Arial" w:cs="Arial"/>
          <w:b/>
          <w:bCs/>
          <w:i/>
          <w:iCs/>
          <w:sz w:val="20"/>
          <w:szCs w:val="20"/>
        </w:rPr>
      </w:pPr>
      <w:r w:rsidRPr="00995225">
        <w:rPr>
          <w:rFonts w:ascii="Arial" w:hAnsi="Arial" w:cs="Arial"/>
          <w:b/>
          <w:bCs/>
          <w:i/>
          <w:iCs/>
          <w:sz w:val="20"/>
          <w:szCs w:val="20"/>
        </w:rPr>
        <w:t xml:space="preserve">La Comisión de la Verdad y </w:t>
      </w:r>
      <w:r>
        <w:rPr>
          <w:rFonts w:ascii="Arial" w:hAnsi="Arial" w:cs="Arial"/>
          <w:b/>
          <w:bCs/>
          <w:i/>
          <w:iCs/>
          <w:sz w:val="20"/>
          <w:szCs w:val="20"/>
        </w:rPr>
        <w:t>R</w:t>
      </w:r>
      <w:r w:rsidRPr="00995225">
        <w:rPr>
          <w:rFonts w:ascii="Arial" w:hAnsi="Arial" w:cs="Arial"/>
          <w:b/>
          <w:bCs/>
          <w:i/>
          <w:iCs/>
          <w:sz w:val="20"/>
          <w:szCs w:val="20"/>
        </w:rPr>
        <w:t xml:space="preserve">econciliación presentando su informe final </w:t>
      </w:r>
    </w:p>
    <w:p w:rsidR="00A22429" w:rsidRPr="00995225" w:rsidRDefault="00A22429" w:rsidP="006571D5">
      <w:pPr>
        <w:spacing w:after="0" w:line="360" w:lineRule="auto"/>
        <w:jc w:val="center"/>
        <w:rPr>
          <w:rFonts w:ascii="Arial" w:hAnsi="Arial" w:cs="Arial"/>
          <w:b/>
          <w:bCs/>
          <w:i/>
          <w:iCs/>
          <w:sz w:val="20"/>
          <w:szCs w:val="20"/>
        </w:rPr>
      </w:pPr>
      <w:r w:rsidRPr="00995225">
        <w:rPr>
          <w:rFonts w:ascii="Arial" w:hAnsi="Arial" w:cs="Arial"/>
          <w:b/>
          <w:bCs/>
          <w:i/>
          <w:iCs/>
          <w:sz w:val="20"/>
          <w:szCs w:val="20"/>
        </w:rPr>
        <w:t xml:space="preserve">al </w:t>
      </w:r>
      <w:r>
        <w:rPr>
          <w:rFonts w:ascii="Arial" w:hAnsi="Arial" w:cs="Arial"/>
          <w:b/>
          <w:bCs/>
          <w:i/>
          <w:iCs/>
          <w:sz w:val="20"/>
          <w:szCs w:val="20"/>
        </w:rPr>
        <w:t>g</w:t>
      </w:r>
      <w:r w:rsidRPr="00995225">
        <w:rPr>
          <w:rFonts w:ascii="Arial" w:hAnsi="Arial" w:cs="Arial"/>
          <w:b/>
          <w:bCs/>
          <w:i/>
          <w:iCs/>
          <w:sz w:val="20"/>
          <w:szCs w:val="20"/>
        </w:rPr>
        <w:t xml:space="preserve">obierno </w:t>
      </w:r>
      <w:r>
        <w:rPr>
          <w:rFonts w:ascii="Arial" w:hAnsi="Arial" w:cs="Arial"/>
          <w:b/>
          <w:bCs/>
          <w:i/>
          <w:iCs/>
          <w:sz w:val="20"/>
          <w:szCs w:val="20"/>
        </w:rPr>
        <w:t>p</w:t>
      </w:r>
      <w:r w:rsidRPr="00995225">
        <w:rPr>
          <w:rFonts w:ascii="Arial" w:hAnsi="Arial" w:cs="Arial"/>
          <w:b/>
          <w:bCs/>
          <w:i/>
          <w:iCs/>
          <w:sz w:val="20"/>
          <w:szCs w:val="20"/>
        </w:rPr>
        <w:t xml:space="preserve">eruano el 28 de agosto de 2003 en </w:t>
      </w:r>
      <w:r>
        <w:rPr>
          <w:rFonts w:ascii="Arial" w:hAnsi="Arial" w:cs="Arial"/>
          <w:b/>
          <w:bCs/>
          <w:i/>
          <w:iCs/>
          <w:sz w:val="20"/>
          <w:szCs w:val="20"/>
        </w:rPr>
        <w:t>P</w:t>
      </w:r>
      <w:r w:rsidRPr="00995225">
        <w:rPr>
          <w:rFonts w:ascii="Arial" w:hAnsi="Arial" w:cs="Arial"/>
          <w:b/>
          <w:bCs/>
          <w:i/>
          <w:iCs/>
          <w:sz w:val="20"/>
          <w:szCs w:val="20"/>
        </w:rPr>
        <w:t xml:space="preserve">alacio de Gobierno </w:t>
      </w:r>
    </w:p>
    <w:p w:rsidR="00A22429" w:rsidRPr="00995225" w:rsidRDefault="00A22429" w:rsidP="006571D5">
      <w:pPr>
        <w:spacing w:after="0" w:line="360" w:lineRule="auto"/>
        <w:jc w:val="center"/>
        <w:rPr>
          <w:rFonts w:ascii="Arial" w:hAnsi="Arial" w:cs="Arial"/>
          <w:b/>
          <w:bCs/>
          <w:i/>
          <w:iCs/>
          <w:sz w:val="20"/>
          <w:szCs w:val="20"/>
        </w:rPr>
      </w:pPr>
      <w:r w:rsidRPr="00995225">
        <w:rPr>
          <w:rFonts w:ascii="Arial" w:hAnsi="Arial" w:cs="Arial"/>
          <w:b/>
          <w:bCs/>
          <w:i/>
          <w:iCs/>
          <w:sz w:val="20"/>
          <w:szCs w:val="20"/>
        </w:rPr>
        <w:t>http://cverdad.org.pe/ingles/pagina01.php.</w:t>
      </w:r>
    </w:p>
    <w:p w:rsidR="00A22429" w:rsidRPr="00995225" w:rsidRDefault="00A22429" w:rsidP="00995225">
      <w:pPr>
        <w:spacing w:after="0" w:line="360" w:lineRule="auto"/>
        <w:ind w:firstLine="708"/>
        <w:jc w:val="both"/>
        <w:rPr>
          <w:rFonts w:ascii="Arial" w:hAnsi="Arial" w:cs="Arial"/>
          <w:sz w:val="24"/>
          <w:szCs w:val="24"/>
        </w:rPr>
      </w:pPr>
      <w:r>
        <w:rPr>
          <w:rFonts w:ascii="Arial" w:hAnsi="Arial" w:cs="Arial"/>
          <w:sz w:val="24"/>
          <w:szCs w:val="24"/>
        </w:rPr>
        <w:t>El P</w:t>
      </w:r>
      <w:r w:rsidRPr="00995225">
        <w:rPr>
          <w:rFonts w:ascii="Arial" w:hAnsi="Arial" w:cs="Arial"/>
          <w:sz w:val="24"/>
          <w:szCs w:val="24"/>
        </w:rPr>
        <w:t>rograma se dispone a implementar</w:t>
      </w:r>
      <w:r>
        <w:rPr>
          <w:rFonts w:ascii="Arial" w:hAnsi="Arial" w:cs="Arial"/>
          <w:sz w:val="24"/>
          <w:szCs w:val="24"/>
        </w:rPr>
        <w:t xml:space="preserve"> efectivamente</w:t>
      </w:r>
      <w:r w:rsidRPr="00995225">
        <w:rPr>
          <w:rFonts w:ascii="Arial" w:hAnsi="Arial" w:cs="Arial"/>
          <w:sz w:val="24"/>
          <w:szCs w:val="24"/>
        </w:rPr>
        <w:t xml:space="preserve"> reparaciones individuales en educación y salud a las poblaciones de </w:t>
      </w:r>
      <w:r>
        <w:rPr>
          <w:rFonts w:ascii="Arial" w:hAnsi="Arial" w:cs="Arial"/>
          <w:sz w:val="24"/>
          <w:szCs w:val="24"/>
        </w:rPr>
        <w:t xml:space="preserve">las </w:t>
      </w:r>
      <w:r w:rsidRPr="00995225">
        <w:rPr>
          <w:rFonts w:ascii="Arial" w:hAnsi="Arial" w:cs="Arial"/>
          <w:sz w:val="24"/>
          <w:szCs w:val="24"/>
        </w:rPr>
        <w:t xml:space="preserve">562 comunidades más duramente afectadas en </w:t>
      </w:r>
      <w:r>
        <w:rPr>
          <w:rFonts w:ascii="Arial" w:hAnsi="Arial" w:cs="Arial"/>
          <w:sz w:val="24"/>
          <w:szCs w:val="24"/>
        </w:rPr>
        <w:t xml:space="preserve">las </w:t>
      </w:r>
      <w:r w:rsidRPr="00995225">
        <w:rPr>
          <w:rFonts w:ascii="Arial" w:hAnsi="Arial" w:cs="Arial"/>
          <w:sz w:val="24"/>
          <w:szCs w:val="24"/>
        </w:rPr>
        <w:t xml:space="preserve">zonas rurales, sin discriminar si los beneficiarios han sido víctimas o familiares de víctimas. Además, la esencia del programa se centra en la situación actual de estas áreas y no en </w:t>
      </w:r>
      <w:r>
        <w:rPr>
          <w:rFonts w:ascii="Arial" w:hAnsi="Arial" w:cs="Arial"/>
          <w:sz w:val="24"/>
          <w:szCs w:val="24"/>
        </w:rPr>
        <w:t>un</w:t>
      </w:r>
      <w:r w:rsidRPr="00995225">
        <w:rPr>
          <w:rFonts w:ascii="Arial" w:hAnsi="Arial" w:cs="Arial"/>
          <w:sz w:val="24"/>
          <w:szCs w:val="24"/>
        </w:rPr>
        <w:t xml:space="preserve"> vínculo explícito con las violaciones </w:t>
      </w:r>
      <w:r>
        <w:rPr>
          <w:rFonts w:ascii="Arial" w:hAnsi="Arial" w:cs="Arial"/>
          <w:sz w:val="24"/>
          <w:szCs w:val="24"/>
        </w:rPr>
        <w:t>de</w:t>
      </w:r>
      <w:r w:rsidRPr="00995225">
        <w:rPr>
          <w:rFonts w:ascii="Arial" w:hAnsi="Arial" w:cs="Arial"/>
          <w:sz w:val="24"/>
          <w:szCs w:val="24"/>
        </w:rPr>
        <w:t xml:space="preserve"> derechos humanos</w:t>
      </w:r>
      <w:r>
        <w:rPr>
          <w:rFonts w:ascii="Arial" w:hAnsi="Arial" w:cs="Arial"/>
          <w:sz w:val="24"/>
          <w:szCs w:val="24"/>
        </w:rPr>
        <w:t xml:space="preserve"> cometidas</w:t>
      </w:r>
      <w:r w:rsidRPr="00995225">
        <w:rPr>
          <w:rFonts w:ascii="Arial" w:hAnsi="Arial" w:cs="Arial"/>
          <w:sz w:val="24"/>
          <w:szCs w:val="24"/>
        </w:rPr>
        <w:t>. La CVR ha subrayado este vínculo como una importante garantía de que las reparaciones constituy</w:t>
      </w:r>
      <w:r>
        <w:rPr>
          <w:rFonts w:ascii="Arial" w:hAnsi="Arial" w:cs="Arial"/>
          <w:sz w:val="24"/>
          <w:szCs w:val="24"/>
        </w:rPr>
        <w:t>a</w:t>
      </w:r>
      <w:r w:rsidRPr="00995225">
        <w:rPr>
          <w:rFonts w:ascii="Arial" w:hAnsi="Arial" w:cs="Arial"/>
          <w:sz w:val="24"/>
          <w:szCs w:val="24"/>
        </w:rPr>
        <w:t>n un reconocimiento de los errores específicos y los daños causados. El costo total del Programa, que asciende a unos 349 millones de soles (aproximadamente US$ 100 millones), no ha sido financiado en su totalidad, llevando a un déficit inicial, incluso antes de iniciar la implementación, de unos 86 millones de soles (unos US$ 24,6 millones).</w:t>
      </w:r>
    </w:p>
    <w:p w:rsidR="00A22429" w:rsidRPr="00995225" w:rsidRDefault="00A22429" w:rsidP="00874F54">
      <w:pPr>
        <w:spacing w:after="0" w:line="360" w:lineRule="auto"/>
        <w:ind w:firstLine="708"/>
        <w:jc w:val="both"/>
        <w:rPr>
          <w:rFonts w:ascii="Arial" w:hAnsi="Arial" w:cs="Arial"/>
          <w:sz w:val="24"/>
          <w:szCs w:val="24"/>
        </w:rPr>
      </w:pPr>
      <w:r w:rsidRPr="00995225">
        <w:rPr>
          <w:rFonts w:ascii="Arial" w:hAnsi="Arial" w:cs="Arial"/>
          <w:sz w:val="24"/>
          <w:szCs w:val="24"/>
        </w:rPr>
        <w:t>El mayor avance llegó a finales de julio de 2005, cuando el Congreso peruano aprobó la Ley que crea el Plan Integral de Reparaciones</w:t>
      </w:r>
      <w:r w:rsidRPr="00995225">
        <w:rPr>
          <w:rStyle w:val="FootnoteReference"/>
          <w:rFonts w:ascii="Arial" w:hAnsi="Arial" w:cs="Arial"/>
          <w:sz w:val="24"/>
          <w:szCs w:val="24"/>
        </w:rPr>
        <w:footnoteReference w:id="7"/>
      </w:r>
      <w:r w:rsidRPr="00995225">
        <w:rPr>
          <w:rFonts w:ascii="Arial" w:hAnsi="Arial" w:cs="Arial"/>
          <w:sz w:val="24"/>
          <w:szCs w:val="24"/>
        </w:rPr>
        <w:t xml:space="preserve"> ("</w:t>
      </w:r>
      <w:r>
        <w:rPr>
          <w:rFonts w:ascii="Arial" w:hAnsi="Arial" w:cs="Arial"/>
          <w:sz w:val="24"/>
          <w:szCs w:val="24"/>
        </w:rPr>
        <w:t>L</w:t>
      </w:r>
      <w:r w:rsidRPr="00995225">
        <w:rPr>
          <w:rFonts w:ascii="Arial" w:hAnsi="Arial" w:cs="Arial"/>
          <w:sz w:val="24"/>
          <w:szCs w:val="24"/>
        </w:rPr>
        <w:t xml:space="preserve">ey de </w:t>
      </w:r>
      <w:r>
        <w:rPr>
          <w:rFonts w:ascii="Arial" w:hAnsi="Arial" w:cs="Arial"/>
          <w:sz w:val="24"/>
          <w:szCs w:val="24"/>
        </w:rPr>
        <w:t>R</w:t>
      </w:r>
      <w:r w:rsidRPr="00995225">
        <w:rPr>
          <w:rFonts w:ascii="Arial" w:hAnsi="Arial" w:cs="Arial"/>
          <w:sz w:val="24"/>
          <w:szCs w:val="24"/>
        </w:rPr>
        <w:t>eparaci</w:t>
      </w:r>
      <w:r>
        <w:rPr>
          <w:rFonts w:ascii="Arial" w:hAnsi="Arial" w:cs="Arial"/>
          <w:sz w:val="24"/>
          <w:szCs w:val="24"/>
        </w:rPr>
        <w:t>ones</w:t>
      </w:r>
      <w:r w:rsidRPr="00995225">
        <w:rPr>
          <w:rFonts w:ascii="Arial" w:hAnsi="Arial" w:cs="Arial"/>
          <w:sz w:val="24"/>
          <w:szCs w:val="24"/>
        </w:rPr>
        <w:t xml:space="preserve">"). La </w:t>
      </w:r>
      <w:r>
        <w:rPr>
          <w:rFonts w:ascii="Arial" w:hAnsi="Arial" w:cs="Arial"/>
          <w:sz w:val="24"/>
          <w:szCs w:val="24"/>
        </w:rPr>
        <w:t>L</w:t>
      </w:r>
      <w:r w:rsidRPr="00995225">
        <w:rPr>
          <w:rFonts w:ascii="Arial" w:hAnsi="Arial" w:cs="Arial"/>
          <w:sz w:val="24"/>
          <w:szCs w:val="24"/>
        </w:rPr>
        <w:t xml:space="preserve">ey de </w:t>
      </w:r>
      <w:r>
        <w:rPr>
          <w:rFonts w:ascii="Arial" w:hAnsi="Arial" w:cs="Arial"/>
          <w:sz w:val="24"/>
          <w:szCs w:val="24"/>
        </w:rPr>
        <w:t>R</w:t>
      </w:r>
      <w:r w:rsidRPr="00995225">
        <w:rPr>
          <w:rFonts w:ascii="Arial" w:hAnsi="Arial" w:cs="Arial"/>
          <w:sz w:val="24"/>
          <w:szCs w:val="24"/>
        </w:rPr>
        <w:t>eparaciones es consistente con el PR</w:t>
      </w:r>
      <w:r>
        <w:rPr>
          <w:rFonts w:ascii="Arial" w:hAnsi="Arial" w:cs="Arial"/>
          <w:sz w:val="24"/>
          <w:szCs w:val="24"/>
        </w:rPr>
        <w:t>,</w:t>
      </w:r>
      <w:r w:rsidRPr="00995225">
        <w:rPr>
          <w:rFonts w:ascii="Arial" w:hAnsi="Arial" w:cs="Arial"/>
          <w:sz w:val="24"/>
          <w:szCs w:val="24"/>
        </w:rPr>
        <w:t xml:space="preserve"> como establece </w:t>
      </w:r>
      <w:r>
        <w:rPr>
          <w:rFonts w:ascii="Arial" w:hAnsi="Arial" w:cs="Arial"/>
          <w:sz w:val="24"/>
          <w:szCs w:val="24"/>
        </w:rPr>
        <w:t xml:space="preserve">su </w:t>
      </w:r>
      <w:r w:rsidRPr="00995225">
        <w:rPr>
          <w:rFonts w:ascii="Arial" w:hAnsi="Arial" w:cs="Arial"/>
          <w:sz w:val="24"/>
          <w:szCs w:val="24"/>
        </w:rPr>
        <w:t>marco programático, y permit</w:t>
      </w:r>
      <w:r>
        <w:rPr>
          <w:rFonts w:ascii="Arial" w:hAnsi="Arial" w:cs="Arial"/>
          <w:sz w:val="24"/>
          <w:szCs w:val="24"/>
        </w:rPr>
        <w:t>e</w:t>
      </w:r>
      <w:r w:rsidRPr="00995225">
        <w:rPr>
          <w:rFonts w:ascii="Arial" w:hAnsi="Arial" w:cs="Arial"/>
          <w:sz w:val="24"/>
          <w:szCs w:val="24"/>
        </w:rPr>
        <w:t xml:space="preserve"> </w:t>
      </w:r>
      <w:r>
        <w:rPr>
          <w:rFonts w:ascii="Arial" w:hAnsi="Arial" w:cs="Arial"/>
          <w:sz w:val="24"/>
          <w:szCs w:val="24"/>
        </w:rPr>
        <w:t xml:space="preserve">la fusión de </w:t>
      </w:r>
      <w:r w:rsidRPr="00995225">
        <w:rPr>
          <w:rFonts w:ascii="Arial" w:hAnsi="Arial" w:cs="Arial"/>
          <w:sz w:val="24"/>
          <w:szCs w:val="24"/>
        </w:rPr>
        <w:t xml:space="preserve">políticas ad hoc en una verdadera política de Estado sobre las reparaciones. Por otra parte, mediante </w:t>
      </w:r>
      <w:r>
        <w:rPr>
          <w:rFonts w:ascii="Arial" w:hAnsi="Arial" w:cs="Arial"/>
          <w:sz w:val="24"/>
          <w:szCs w:val="24"/>
        </w:rPr>
        <w:t>e</w:t>
      </w:r>
      <w:r w:rsidRPr="00995225">
        <w:rPr>
          <w:rFonts w:ascii="Arial" w:hAnsi="Arial" w:cs="Arial"/>
          <w:sz w:val="24"/>
          <w:szCs w:val="24"/>
        </w:rPr>
        <w:t xml:space="preserve">l </w:t>
      </w:r>
      <w:r>
        <w:rPr>
          <w:rFonts w:ascii="Arial" w:hAnsi="Arial" w:cs="Arial"/>
          <w:sz w:val="24"/>
          <w:szCs w:val="24"/>
        </w:rPr>
        <w:t>compromiso</w:t>
      </w:r>
      <w:r w:rsidRPr="00995225">
        <w:rPr>
          <w:rFonts w:ascii="Arial" w:hAnsi="Arial" w:cs="Arial"/>
          <w:sz w:val="24"/>
          <w:szCs w:val="24"/>
        </w:rPr>
        <w:t xml:space="preserve"> con futuros gobiernos, la le</w:t>
      </w:r>
      <w:r>
        <w:rPr>
          <w:rFonts w:ascii="Arial" w:hAnsi="Arial" w:cs="Arial"/>
          <w:sz w:val="24"/>
          <w:szCs w:val="24"/>
        </w:rPr>
        <w:t>y</w:t>
      </w:r>
      <w:r w:rsidRPr="00995225">
        <w:rPr>
          <w:rFonts w:ascii="Arial" w:hAnsi="Arial" w:cs="Arial"/>
          <w:sz w:val="24"/>
          <w:szCs w:val="24"/>
        </w:rPr>
        <w:t xml:space="preserve"> prevé una mayor garantía de la aplicación del PR. La CVR preveía que cualquier PR debería abarcar a todas las víctimas (comprendidas dentro de la definición de </w:t>
      </w:r>
      <w:r>
        <w:rPr>
          <w:rFonts w:ascii="Arial" w:hAnsi="Arial" w:cs="Arial"/>
          <w:sz w:val="24"/>
          <w:szCs w:val="24"/>
        </w:rPr>
        <w:t>“</w:t>
      </w:r>
      <w:r w:rsidRPr="00995225">
        <w:rPr>
          <w:rFonts w:ascii="Arial" w:hAnsi="Arial" w:cs="Arial"/>
          <w:sz w:val="24"/>
          <w:szCs w:val="24"/>
        </w:rPr>
        <w:t>violaciones de derechos humanos</w:t>
      </w:r>
      <w:r>
        <w:rPr>
          <w:rFonts w:ascii="Arial" w:hAnsi="Arial" w:cs="Arial"/>
          <w:sz w:val="24"/>
          <w:szCs w:val="24"/>
        </w:rPr>
        <w:t>”</w:t>
      </w:r>
      <w:r w:rsidRPr="00995225">
        <w:rPr>
          <w:rFonts w:ascii="Arial" w:hAnsi="Arial" w:cs="Arial"/>
          <w:sz w:val="24"/>
          <w:szCs w:val="24"/>
        </w:rPr>
        <w:t>), y no sólo aquell</w:t>
      </w:r>
      <w:r>
        <w:rPr>
          <w:rFonts w:ascii="Arial" w:hAnsi="Arial" w:cs="Arial"/>
          <w:sz w:val="24"/>
          <w:szCs w:val="24"/>
        </w:rPr>
        <w:t>a</w:t>
      </w:r>
      <w:r w:rsidRPr="00995225">
        <w:rPr>
          <w:rFonts w:ascii="Arial" w:hAnsi="Arial" w:cs="Arial"/>
          <w:sz w:val="24"/>
          <w:szCs w:val="24"/>
        </w:rPr>
        <w:t>s cuyos casos fueron denunciados a la Comisión</w:t>
      </w:r>
      <w:r>
        <w:rPr>
          <w:rFonts w:ascii="Arial" w:hAnsi="Arial" w:cs="Arial"/>
          <w:sz w:val="24"/>
          <w:szCs w:val="24"/>
        </w:rPr>
        <w:t>;</w:t>
      </w:r>
      <w:r w:rsidRPr="00995225">
        <w:rPr>
          <w:rFonts w:ascii="Arial" w:hAnsi="Arial" w:cs="Arial"/>
          <w:sz w:val="24"/>
          <w:szCs w:val="24"/>
        </w:rPr>
        <w:t xml:space="preserve"> por lo tanto la ley de reparación prevé la creación de</w:t>
      </w:r>
      <w:r>
        <w:rPr>
          <w:rFonts w:ascii="Arial" w:hAnsi="Arial" w:cs="Arial"/>
          <w:sz w:val="24"/>
          <w:szCs w:val="24"/>
        </w:rPr>
        <w:t xml:space="preserve"> un</w:t>
      </w:r>
      <w:r w:rsidRPr="00995225">
        <w:rPr>
          <w:rFonts w:ascii="Arial" w:hAnsi="Arial" w:cs="Arial"/>
          <w:sz w:val="24"/>
          <w:szCs w:val="24"/>
        </w:rPr>
        <w:t xml:space="preserve"> </w:t>
      </w:r>
      <w:r>
        <w:rPr>
          <w:rFonts w:ascii="Arial" w:hAnsi="Arial" w:cs="Arial"/>
          <w:sz w:val="24"/>
          <w:szCs w:val="24"/>
        </w:rPr>
        <w:t>R</w:t>
      </w:r>
      <w:r w:rsidRPr="00995225">
        <w:rPr>
          <w:rFonts w:ascii="Arial" w:hAnsi="Arial" w:cs="Arial"/>
          <w:sz w:val="24"/>
          <w:szCs w:val="24"/>
        </w:rPr>
        <w:t xml:space="preserve">egistro </w:t>
      </w:r>
      <w:r>
        <w:rPr>
          <w:rFonts w:ascii="Arial" w:hAnsi="Arial" w:cs="Arial"/>
          <w:sz w:val="24"/>
          <w:szCs w:val="24"/>
        </w:rPr>
        <w:t>U</w:t>
      </w:r>
      <w:r w:rsidRPr="00995225">
        <w:rPr>
          <w:rFonts w:ascii="Arial" w:hAnsi="Arial" w:cs="Arial"/>
          <w:sz w:val="24"/>
          <w:szCs w:val="24"/>
        </w:rPr>
        <w:t xml:space="preserve">nificado de </w:t>
      </w:r>
      <w:r>
        <w:rPr>
          <w:rFonts w:ascii="Arial" w:hAnsi="Arial" w:cs="Arial"/>
          <w:sz w:val="24"/>
          <w:szCs w:val="24"/>
        </w:rPr>
        <w:t>V</w:t>
      </w:r>
      <w:r w:rsidRPr="00995225">
        <w:rPr>
          <w:rFonts w:ascii="Arial" w:hAnsi="Arial" w:cs="Arial"/>
          <w:sz w:val="24"/>
          <w:szCs w:val="24"/>
        </w:rPr>
        <w:t>íctimas</w:t>
      </w:r>
      <w:r>
        <w:rPr>
          <w:rFonts w:ascii="Arial" w:hAnsi="Arial" w:cs="Arial"/>
          <w:sz w:val="24"/>
          <w:szCs w:val="24"/>
        </w:rPr>
        <w:t>,</w:t>
      </w:r>
      <w:r w:rsidRPr="00995225">
        <w:rPr>
          <w:rFonts w:ascii="Arial" w:hAnsi="Arial" w:cs="Arial"/>
          <w:sz w:val="24"/>
          <w:szCs w:val="24"/>
        </w:rPr>
        <w:t xml:space="preserve"> tanto individuales como colectivas, así como </w:t>
      </w:r>
      <w:r>
        <w:rPr>
          <w:rFonts w:ascii="Arial" w:hAnsi="Arial" w:cs="Arial"/>
          <w:sz w:val="24"/>
          <w:szCs w:val="24"/>
        </w:rPr>
        <w:t xml:space="preserve">de los </w:t>
      </w:r>
      <w:r w:rsidRPr="00995225">
        <w:rPr>
          <w:rFonts w:ascii="Arial" w:hAnsi="Arial" w:cs="Arial"/>
          <w:sz w:val="24"/>
          <w:szCs w:val="24"/>
        </w:rPr>
        <w:t>familia</w:t>
      </w:r>
      <w:r>
        <w:rPr>
          <w:rFonts w:ascii="Arial" w:hAnsi="Arial" w:cs="Arial"/>
          <w:sz w:val="24"/>
          <w:szCs w:val="24"/>
        </w:rPr>
        <w:t>res</w:t>
      </w:r>
      <w:r w:rsidRPr="00995225">
        <w:rPr>
          <w:rFonts w:ascii="Arial" w:hAnsi="Arial" w:cs="Arial"/>
          <w:sz w:val="24"/>
          <w:szCs w:val="24"/>
        </w:rPr>
        <w:t xml:space="preserve"> de los muertos y desaparecidos, que tendrían derecho a las reparaciones. Esta será una herramienta indispensable en la aplicación efectiva de </w:t>
      </w:r>
      <w:r>
        <w:rPr>
          <w:rFonts w:ascii="Arial" w:hAnsi="Arial" w:cs="Arial"/>
          <w:sz w:val="24"/>
          <w:szCs w:val="24"/>
        </w:rPr>
        <w:t xml:space="preserve">las </w:t>
      </w:r>
      <w:r w:rsidRPr="00995225">
        <w:rPr>
          <w:rFonts w:ascii="Arial" w:hAnsi="Arial" w:cs="Arial"/>
          <w:sz w:val="24"/>
          <w:szCs w:val="24"/>
        </w:rPr>
        <w:t>medidas de reparación.</w:t>
      </w:r>
    </w:p>
    <w:p w:rsidR="00A22429" w:rsidRPr="00995225" w:rsidRDefault="00A22429" w:rsidP="00874F54">
      <w:pPr>
        <w:spacing w:after="0" w:line="360" w:lineRule="auto"/>
        <w:ind w:firstLine="708"/>
        <w:jc w:val="both"/>
        <w:rPr>
          <w:rFonts w:ascii="Arial" w:hAnsi="Arial" w:cs="Arial"/>
          <w:sz w:val="24"/>
          <w:szCs w:val="24"/>
        </w:rPr>
      </w:pPr>
      <w:r w:rsidRPr="00995225">
        <w:rPr>
          <w:rFonts w:ascii="Arial" w:hAnsi="Arial" w:cs="Arial"/>
          <w:sz w:val="24"/>
          <w:szCs w:val="24"/>
        </w:rPr>
        <w:t xml:space="preserve">La </w:t>
      </w:r>
      <w:r>
        <w:rPr>
          <w:rFonts w:ascii="Arial" w:hAnsi="Arial" w:cs="Arial"/>
          <w:sz w:val="24"/>
          <w:szCs w:val="24"/>
        </w:rPr>
        <w:t>L</w:t>
      </w:r>
      <w:r w:rsidRPr="00995225">
        <w:rPr>
          <w:rFonts w:ascii="Arial" w:hAnsi="Arial" w:cs="Arial"/>
          <w:sz w:val="24"/>
          <w:szCs w:val="24"/>
        </w:rPr>
        <w:t>ey</w:t>
      </w:r>
      <w:r>
        <w:rPr>
          <w:rFonts w:ascii="Arial" w:hAnsi="Arial" w:cs="Arial"/>
          <w:sz w:val="24"/>
          <w:szCs w:val="24"/>
        </w:rPr>
        <w:t xml:space="preserve"> de Reparaciones</w:t>
      </w:r>
      <w:r w:rsidRPr="00995225">
        <w:rPr>
          <w:rFonts w:ascii="Arial" w:hAnsi="Arial" w:cs="Arial"/>
          <w:sz w:val="24"/>
          <w:szCs w:val="24"/>
        </w:rPr>
        <w:t xml:space="preserve"> </w:t>
      </w:r>
      <w:r>
        <w:rPr>
          <w:rFonts w:ascii="Arial" w:hAnsi="Arial" w:cs="Arial"/>
          <w:sz w:val="24"/>
          <w:szCs w:val="24"/>
        </w:rPr>
        <w:t>se hace eco de</w:t>
      </w:r>
      <w:r w:rsidRPr="00995225">
        <w:rPr>
          <w:rFonts w:ascii="Arial" w:hAnsi="Arial" w:cs="Arial"/>
          <w:sz w:val="24"/>
          <w:szCs w:val="24"/>
        </w:rPr>
        <w:t xml:space="preserve">l marco de la CMAN </w:t>
      </w:r>
      <w:r>
        <w:rPr>
          <w:rFonts w:ascii="Arial" w:hAnsi="Arial" w:cs="Arial"/>
          <w:sz w:val="24"/>
          <w:szCs w:val="24"/>
        </w:rPr>
        <w:t>al</w:t>
      </w:r>
      <w:r w:rsidRPr="00995225">
        <w:rPr>
          <w:rFonts w:ascii="Arial" w:hAnsi="Arial" w:cs="Arial"/>
          <w:sz w:val="24"/>
          <w:szCs w:val="24"/>
        </w:rPr>
        <w:t xml:space="preserve"> rechaza</w:t>
      </w:r>
      <w:r>
        <w:rPr>
          <w:rFonts w:ascii="Arial" w:hAnsi="Arial" w:cs="Arial"/>
          <w:sz w:val="24"/>
          <w:szCs w:val="24"/>
        </w:rPr>
        <w:t>r</w:t>
      </w:r>
      <w:r w:rsidRPr="00995225">
        <w:rPr>
          <w:rFonts w:ascii="Arial" w:hAnsi="Arial" w:cs="Arial"/>
          <w:sz w:val="24"/>
          <w:szCs w:val="24"/>
        </w:rPr>
        <w:t xml:space="preserve"> la noción de una indemnización o pensiones a las víctimas, contemplando una serie integral de reparaci</w:t>
      </w:r>
      <w:r>
        <w:rPr>
          <w:rFonts w:ascii="Arial" w:hAnsi="Arial" w:cs="Arial"/>
          <w:sz w:val="24"/>
          <w:szCs w:val="24"/>
        </w:rPr>
        <w:t>ones</w:t>
      </w:r>
      <w:r w:rsidRPr="00995225">
        <w:rPr>
          <w:rFonts w:ascii="Arial" w:hAnsi="Arial" w:cs="Arial"/>
          <w:sz w:val="24"/>
          <w:szCs w:val="24"/>
        </w:rPr>
        <w:t xml:space="preserve"> simbólica</w:t>
      </w:r>
      <w:r>
        <w:rPr>
          <w:rFonts w:ascii="Arial" w:hAnsi="Arial" w:cs="Arial"/>
          <w:sz w:val="24"/>
          <w:szCs w:val="24"/>
        </w:rPr>
        <w:t>s</w:t>
      </w:r>
      <w:r w:rsidRPr="00995225">
        <w:rPr>
          <w:rFonts w:ascii="Arial" w:hAnsi="Arial" w:cs="Arial"/>
          <w:sz w:val="24"/>
          <w:szCs w:val="24"/>
        </w:rPr>
        <w:t xml:space="preserve"> y material</w:t>
      </w:r>
      <w:r>
        <w:rPr>
          <w:rFonts w:ascii="Arial" w:hAnsi="Arial" w:cs="Arial"/>
          <w:sz w:val="24"/>
          <w:szCs w:val="24"/>
        </w:rPr>
        <w:t>es</w:t>
      </w:r>
      <w:r w:rsidRPr="00995225">
        <w:rPr>
          <w:rFonts w:ascii="Arial" w:hAnsi="Arial" w:cs="Arial"/>
          <w:sz w:val="24"/>
          <w:szCs w:val="24"/>
        </w:rPr>
        <w:t>, tanto para las víctimas individuales como colectivas. La ley contiene una autorización a la CMAN para incluir otros programas que considere necesarios, y est</w:t>
      </w:r>
      <w:r>
        <w:rPr>
          <w:rFonts w:ascii="Arial" w:hAnsi="Arial" w:cs="Arial"/>
          <w:sz w:val="24"/>
          <w:szCs w:val="24"/>
        </w:rPr>
        <w:t>os</w:t>
      </w:r>
      <w:r w:rsidRPr="00995225">
        <w:rPr>
          <w:rFonts w:ascii="Arial" w:hAnsi="Arial" w:cs="Arial"/>
          <w:sz w:val="24"/>
          <w:szCs w:val="24"/>
        </w:rPr>
        <w:t xml:space="preserve"> podría</w:t>
      </w:r>
      <w:r>
        <w:rPr>
          <w:rFonts w:ascii="Arial" w:hAnsi="Arial" w:cs="Arial"/>
          <w:sz w:val="24"/>
          <w:szCs w:val="24"/>
        </w:rPr>
        <w:t>n</w:t>
      </w:r>
      <w:r w:rsidRPr="00995225">
        <w:rPr>
          <w:rFonts w:ascii="Arial" w:hAnsi="Arial" w:cs="Arial"/>
          <w:sz w:val="24"/>
          <w:szCs w:val="24"/>
        </w:rPr>
        <w:t xml:space="preserve"> eventualmente allanar el camino para futura</w:t>
      </w:r>
      <w:r>
        <w:rPr>
          <w:rFonts w:ascii="Arial" w:hAnsi="Arial" w:cs="Arial"/>
          <w:sz w:val="24"/>
          <w:szCs w:val="24"/>
        </w:rPr>
        <w:t>s</w:t>
      </w:r>
      <w:r w:rsidRPr="00995225">
        <w:rPr>
          <w:rFonts w:ascii="Arial" w:hAnsi="Arial" w:cs="Arial"/>
          <w:sz w:val="24"/>
          <w:szCs w:val="24"/>
        </w:rPr>
        <w:t xml:space="preserve"> compensaci</w:t>
      </w:r>
      <w:r>
        <w:rPr>
          <w:rFonts w:ascii="Arial" w:hAnsi="Arial" w:cs="Arial"/>
          <w:sz w:val="24"/>
          <w:szCs w:val="24"/>
        </w:rPr>
        <w:t>ones</w:t>
      </w:r>
      <w:r w:rsidRPr="00995225">
        <w:rPr>
          <w:rFonts w:ascii="Arial" w:hAnsi="Arial" w:cs="Arial"/>
          <w:sz w:val="24"/>
          <w:szCs w:val="24"/>
        </w:rPr>
        <w:t xml:space="preserve"> a algunas de las víctimas. Sin embargo, por ahora la ley pospone una obligación importante del Estado en este sentido.</w:t>
      </w:r>
    </w:p>
    <w:p w:rsidR="00A22429" w:rsidRPr="00995225" w:rsidRDefault="00A22429" w:rsidP="00874F54">
      <w:pPr>
        <w:spacing w:after="0" w:line="360" w:lineRule="auto"/>
        <w:ind w:firstLine="708"/>
        <w:jc w:val="both"/>
        <w:rPr>
          <w:rFonts w:ascii="Arial" w:hAnsi="Arial" w:cs="Arial"/>
          <w:sz w:val="24"/>
          <w:szCs w:val="24"/>
        </w:rPr>
      </w:pPr>
      <w:r w:rsidRPr="00995225">
        <w:rPr>
          <w:rFonts w:ascii="Arial" w:hAnsi="Arial" w:cs="Arial"/>
          <w:sz w:val="24"/>
          <w:szCs w:val="24"/>
        </w:rPr>
        <w:t xml:space="preserve">La </w:t>
      </w:r>
      <w:r>
        <w:rPr>
          <w:rFonts w:ascii="Arial" w:hAnsi="Arial" w:cs="Arial"/>
          <w:sz w:val="24"/>
          <w:szCs w:val="24"/>
        </w:rPr>
        <w:t>L</w:t>
      </w:r>
      <w:r w:rsidRPr="00995225">
        <w:rPr>
          <w:rFonts w:ascii="Arial" w:hAnsi="Arial" w:cs="Arial"/>
          <w:sz w:val="24"/>
          <w:szCs w:val="24"/>
        </w:rPr>
        <w:t xml:space="preserve">ey de </w:t>
      </w:r>
      <w:r>
        <w:rPr>
          <w:rFonts w:ascii="Arial" w:hAnsi="Arial" w:cs="Arial"/>
          <w:sz w:val="24"/>
          <w:szCs w:val="24"/>
        </w:rPr>
        <w:t>R</w:t>
      </w:r>
      <w:r w:rsidRPr="00995225">
        <w:rPr>
          <w:rFonts w:ascii="Arial" w:hAnsi="Arial" w:cs="Arial"/>
          <w:sz w:val="24"/>
          <w:szCs w:val="24"/>
        </w:rPr>
        <w:t xml:space="preserve">eparaciones también hace otro cambio significativo en el PR según lo establecido por la CVR y el </w:t>
      </w:r>
      <w:r>
        <w:rPr>
          <w:rFonts w:ascii="Arial" w:hAnsi="Arial" w:cs="Arial"/>
          <w:sz w:val="24"/>
          <w:szCs w:val="24"/>
        </w:rPr>
        <w:t>m</w:t>
      </w:r>
      <w:r w:rsidRPr="00995225">
        <w:rPr>
          <w:rFonts w:ascii="Arial" w:hAnsi="Arial" w:cs="Arial"/>
          <w:sz w:val="24"/>
          <w:szCs w:val="24"/>
        </w:rPr>
        <w:t xml:space="preserve">arco </w:t>
      </w:r>
      <w:r>
        <w:rPr>
          <w:rFonts w:ascii="Arial" w:hAnsi="Arial" w:cs="Arial"/>
          <w:sz w:val="24"/>
          <w:szCs w:val="24"/>
        </w:rPr>
        <w:t>p</w:t>
      </w:r>
      <w:r w:rsidRPr="00995225">
        <w:rPr>
          <w:rFonts w:ascii="Arial" w:hAnsi="Arial" w:cs="Arial"/>
          <w:sz w:val="24"/>
          <w:szCs w:val="24"/>
        </w:rPr>
        <w:t>rogramático de la CMAN</w:t>
      </w:r>
      <w:r>
        <w:rPr>
          <w:rFonts w:ascii="Arial" w:hAnsi="Arial" w:cs="Arial"/>
          <w:sz w:val="24"/>
          <w:szCs w:val="24"/>
        </w:rPr>
        <w:t>;</w:t>
      </w:r>
      <w:r w:rsidRPr="00995225">
        <w:rPr>
          <w:rFonts w:ascii="Arial" w:hAnsi="Arial" w:cs="Arial"/>
          <w:sz w:val="24"/>
          <w:szCs w:val="24"/>
        </w:rPr>
        <w:t xml:space="preserve"> </w:t>
      </w:r>
      <w:r>
        <w:rPr>
          <w:rFonts w:ascii="Arial" w:hAnsi="Arial" w:cs="Arial"/>
          <w:sz w:val="24"/>
          <w:szCs w:val="24"/>
        </w:rPr>
        <w:t xml:space="preserve">indica </w:t>
      </w:r>
      <w:r w:rsidRPr="00995225">
        <w:rPr>
          <w:rFonts w:ascii="Arial" w:hAnsi="Arial" w:cs="Arial"/>
          <w:sz w:val="24"/>
          <w:szCs w:val="24"/>
        </w:rPr>
        <w:t xml:space="preserve">explícitamente que los miembros de los grupos subversivos no serán considerados como víctimas, y por lo tanto no tendrán derecho a los beneficios </w:t>
      </w:r>
      <w:r>
        <w:rPr>
          <w:rFonts w:ascii="Arial" w:hAnsi="Arial" w:cs="Arial"/>
          <w:sz w:val="24"/>
          <w:szCs w:val="24"/>
        </w:rPr>
        <w:t>de</w:t>
      </w:r>
      <w:r w:rsidRPr="00995225">
        <w:rPr>
          <w:rFonts w:ascii="Arial" w:hAnsi="Arial" w:cs="Arial"/>
          <w:sz w:val="24"/>
          <w:szCs w:val="24"/>
        </w:rPr>
        <w:t xml:space="preserve"> la ley, a pesar de que no serán excluidos de las acciones judiciales para obtener reparación. La CVR t</w:t>
      </w:r>
      <w:r>
        <w:rPr>
          <w:rFonts w:ascii="Arial" w:hAnsi="Arial" w:cs="Arial"/>
          <w:sz w:val="24"/>
          <w:szCs w:val="24"/>
        </w:rPr>
        <w:t>uvo</w:t>
      </w:r>
      <w:r w:rsidRPr="00995225">
        <w:rPr>
          <w:rFonts w:ascii="Arial" w:hAnsi="Arial" w:cs="Arial"/>
          <w:sz w:val="24"/>
          <w:szCs w:val="24"/>
        </w:rPr>
        <w:t xml:space="preserve"> problemas con este asunto y concluyó que era legal y prácticamente imprudente excluir a dichas personas, siempre y cuando </w:t>
      </w:r>
      <w:r>
        <w:rPr>
          <w:rFonts w:ascii="Arial" w:hAnsi="Arial" w:cs="Arial"/>
          <w:sz w:val="24"/>
          <w:szCs w:val="24"/>
        </w:rPr>
        <w:t>fueran</w:t>
      </w:r>
      <w:r w:rsidRPr="00995225">
        <w:rPr>
          <w:rFonts w:ascii="Arial" w:hAnsi="Arial" w:cs="Arial"/>
          <w:sz w:val="24"/>
          <w:szCs w:val="24"/>
        </w:rPr>
        <w:t xml:space="preserve"> víctimas de una violación </w:t>
      </w:r>
      <w:r>
        <w:rPr>
          <w:rFonts w:ascii="Arial" w:hAnsi="Arial" w:cs="Arial"/>
          <w:sz w:val="24"/>
          <w:szCs w:val="24"/>
        </w:rPr>
        <w:t>a</w:t>
      </w:r>
      <w:r w:rsidRPr="00995225">
        <w:rPr>
          <w:rFonts w:ascii="Arial" w:hAnsi="Arial" w:cs="Arial"/>
          <w:sz w:val="24"/>
          <w:szCs w:val="24"/>
        </w:rPr>
        <w:t xml:space="preserve"> los derechos humanos o </w:t>
      </w:r>
      <w:r>
        <w:rPr>
          <w:rFonts w:ascii="Arial" w:hAnsi="Arial" w:cs="Arial"/>
          <w:sz w:val="24"/>
          <w:szCs w:val="24"/>
        </w:rPr>
        <w:t>al</w:t>
      </w:r>
      <w:r w:rsidRPr="00995225">
        <w:rPr>
          <w:rFonts w:ascii="Arial" w:hAnsi="Arial" w:cs="Arial"/>
          <w:sz w:val="24"/>
          <w:szCs w:val="24"/>
        </w:rPr>
        <w:t xml:space="preserve"> derecho internacional humanitario.</w:t>
      </w:r>
    </w:p>
    <w:p w:rsidR="00A22429" w:rsidRPr="00995225" w:rsidRDefault="00A22429" w:rsidP="00874F54">
      <w:pPr>
        <w:spacing w:after="0" w:line="360" w:lineRule="auto"/>
        <w:ind w:firstLine="708"/>
        <w:jc w:val="both"/>
        <w:rPr>
          <w:rFonts w:ascii="Arial" w:hAnsi="Arial" w:cs="Arial"/>
          <w:sz w:val="24"/>
          <w:szCs w:val="24"/>
        </w:rPr>
      </w:pPr>
      <w:r w:rsidRPr="00995225">
        <w:rPr>
          <w:rFonts w:ascii="Arial" w:hAnsi="Arial" w:cs="Arial"/>
          <w:sz w:val="24"/>
          <w:szCs w:val="24"/>
        </w:rPr>
        <w:t xml:space="preserve">El hecho de que el Congreso finalmente apruebe una </w:t>
      </w:r>
      <w:r>
        <w:rPr>
          <w:rFonts w:ascii="Arial" w:hAnsi="Arial" w:cs="Arial"/>
          <w:sz w:val="24"/>
          <w:szCs w:val="24"/>
        </w:rPr>
        <w:t>L</w:t>
      </w:r>
      <w:r w:rsidRPr="00995225">
        <w:rPr>
          <w:rFonts w:ascii="Arial" w:hAnsi="Arial" w:cs="Arial"/>
          <w:sz w:val="24"/>
          <w:szCs w:val="24"/>
        </w:rPr>
        <w:t xml:space="preserve">ey </w:t>
      </w:r>
      <w:r>
        <w:rPr>
          <w:rFonts w:ascii="Arial" w:hAnsi="Arial" w:cs="Arial"/>
          <w:sz w:val="24"/>
          <w:szCs w:val="24"/>
        </w:rPr>
        <w:t>d</w:t>
      </w:r>
      <w:r w:rsidRPr="00995225">
        <w:rPr>
          <w:rFonts w:ascii="Arial" w:hAnsi="Arial" w:cs="Arial"/>
          <w:sz w:val="24"/>
          <w:szCs w:val="24"/>
        </w:rPr>
        <w:t xml:space="preserve">e </w:t>
      </w:r>
      <w:r>
        <w:rPr>
          <w:rFonts w:ascii="Arial" w:hAnsi="Arial" w:cs="Arial"/>
          <w:sz w:val="24"/>
          <w:szCs w:val="24"/>
        </w:rPr>
        <w:t>R</w:t>
      </w:r>
      <w:r w:rsidRPr="00995225">
        <w:rPr>
          <w:rFonts w:ascii="Arial" w:hAnsi="Arial" w:cs="Arial"/>
          <w:sz w:val="24"/>
          <w:szCs w:val="24"/>
        </w:rPr>
        <w:t xml:space="preserve">eparaciones es importante. Sin embargo, hay una serie de pasos antes de que la ley se </w:t>
      </w:r>
      <w:r>
        <w:rPr>
          <w:rFonts w:ascii="Arial" w:hAnsi="Arial" w:cs="Arial"/>
          <w:sz w:val="24"/>
          <w:szCs w:val="24"/>
        </w:rPr>
        <w:t>cumpla</w:t>
      </w:r>
      <w:r w:rsidRPr="00995225">
        <w:rPr>
          <w:rFonts w:ascii="Arial" w:hAnsi="Arial" w:cs="Arial"/>
          <w:sz w:val="24"/>
          <w:szCs w:val="24"/>
        </w:rPr>
        <w:t xml:space="preserve"> con eficacia y eficiencia. Una cuestión importante que se ha olvidado por meses es </w:t>
      </w:r>
      <w:r>
        <w:rPr>
          <w:rFonts w:ascii="Arial" w:hAnsi="Arial" w:cs="Arial"/>
          <w:sz w:val="24"/>
          <w:szCs w:val="24"/>
        </w:rPr>
        <w:t>la aprobación</w:t>
      </w:r>
      <w:r w:rsidRPr="00995225">
        <w:rPr>
          <w:rFonts w:ascii="Arial" w:hAnsi="Arial" w:cs="Arial"/>
          <w:sz w:val="24"/>
          <w:szCs w:val="24"/>
        </w:rPr>
        <w:t xml:space="preserve"> de l</w:t>
      </w:r>
      <w:r>
        <w:rPr>
          <w:rFonts w:ascii="Arial" w:hAnsi="Arial" w:cs="Arial"/>
          <w:sz w:val="24"/>
          <w:szCs w:val="24"/>
        </w:rPr>
        <w:t>a</w:t>
      </w:r>
      <w:r w:rsidRPr="00995225">
        <w:rPr>
          <w:rFonts w:ascii="Arial" w:hAnsi="Arial" w:cs="Arial"/>
          <w:sz w:val="24"/>
          <w:szCs w:val="24"/>
        </w:rPr>
        <w:t xml:space="preserve"> reglament</w:t>
      </w:r>
      <w:r>
        <w:rPr>
          <w:rFonts w:ascii="Arial" w:hAnsi="Arial" w:cs="Arial"/>
          <w:sz w:val="24"/>
          <w:szCs w:val="24"/>
        </w:rPr>
        <w:t>ación de la ley,</w:t>
      </w:r>
      <w:r w:rsidRPr="00995225">
        <w:rPr>
          <w:rFonts w:ascii="Arial" w:hAnsi="Arial" w:cs="Arial"/>
          <w:sz w:val="24"/>
          <w:szCs w:val="24"/>
        </w:rPr>
        <w:t xml:space="preserve"> y la creación tanto de un Consejo de Reparaciones para ejecutarla</w:t>
      </w:r>
      <w:r>
        <w:rPr>
          <w:rFonts w:ascii="Arial" w:hAnsi="Arial" w:cs="Arial"/>
          <w:sz w:val="24"/>
          <w:szCs w:val="24"/>
        </w:rPr>
        <w:t>,</w:t>
      </w:r>
      <w:r w:rsidRPr="00995225">
        <w:rPr>
          <w:rFonts w:ascii="Arial" w:hAnsi="Arial" w:cs="Arial"/>
          <w:sz w:val="24"/>
          <w:szCs w:val="24"/>
        </w:rPr>
        <w:t xml:space="preserve"> como del Registro Nacional de Víctimas</w:t>
      </w:r>
      <w:r>
        <w:rPr>
          <w:rFonts w:ascii="Arial" w:hAnsi="Arial" w:cs="Arial"/>
          <w:sz w:val="24"/>
          <w:szCs w:val="24"/>
        </w:rPr>
        <w:t>,</w:t>
      </w:r>
      <w:r w:rsidRPr="00995225">
        <w:rPr>
          <w:rFonts w:ascii="Arial" w:hAnsi="Arial" w:cs="Arial"/>
          <w:sz w:val="24"/>
          <w:szCs w:val="24"/>
        </w:rPr>
        <w:t xml:space="preserve"> que identifique a aquellos que deben ser </w:t>
      </w:r>
      <w:r>
        <w:rPr>
          <w:rFonts w:ascii="Arial" w:hAnsi="Arial" w:cs="Arial"/>
          <w:sz w:val="24"/>
          <w:szCs w:val="24"/>
        </w:rPr>
        <w:t>su</w:t>
      </w:r>
      <w:r w:rsidRPr="00995225">
        <w:rPr>
          <w:rFonts w:ascii="Arial" w:hAnsi="Arial" w:cs="Arial"/>
          <w:sz w:val="24"/>
          <w:szCs w:val="24"/>
        </w:rPr>
        <w:t>s beneficiarios. A nivel nacional</w:t>
      </w:r>
      <w:r>
        <w:rPr>
          <w:rFonts w:ascii="Arial" w:hAnsi="Arial" w:cs="Arial"/>
          <w:sz w:val="24"/>
          <w:szCs w:val="24"/>
        </w:rPr>
        <w:t>,</w:t>
      </w:r>
      <w:r w:rsidRPr="00995225">
        <w:rPr>
          <w:rFonts w:ascii="Arial" w:hAnsi="Arial" w:cs="Arial"/>
          <w:sz w:val="24"/>
          <w:szCs w:val="24"/>
        </w:rPr>
        <w:t xml:space="preserve"> la voluntad política ha sido vacilante, en parte como reflejo de la debilidad del </w:t>
      </w:r>
      <w:r>
        <w:rPr>
          <w:rFonts w:ascii="Arial" w:hAnsi="Arial" w:cs="Arial"/>
          <w:sz w:val="24"/>
          <w:szCs w:val="24"/>
        </w:rPr>
        <w:t>g</w:t>
      </w:r>
      <w:r w:rsidRPr="00995225">
        <w:rPr>
          <w:rFonts w:ascii="Arial" w:hAnsi="Arial" w:cs="Arial"/>
          <w:sz w:val="24"/>
          <w:szCs w:val="24"/>
        </w:rPr>
        <w:t>obierno encabezado por el presidente Toledo. A nivel de</w:t>
      </w:r>
      <w:r>
        <w:rPr>
          <w:rFonts w:ascii="Arial" w:hAnsi="Arial" w:cs="Arial"/>
          <w:sz w:val="24"/>
          <w:szCs w:val="24"/>
        </w:rPr>
        <w:t xml:space="preserve"> </w:t>
      </w:r>
      <w:r w:rsidRPr="00995225">
        <w:rPr>
          <w:rFonts w:ascii="Arial" w:hAnsi="Arial" w:cs="Arial"/>
          <w:sz w:val="24"/>
          <w:szCs w:val="24"/>
        </w:rPr>
        <w:t>l</w:t>
      </w:r>
      <w:r>
        <w:rPr>
          <w:rFonts w:ascii="Arial" w:hAnsi="Arial" w:cs="Arial"/>
          <w:sz w:val="24"/>
          <w:szCs w:val="24"/>
        </w:rPr>
        <w:t>os</w:t>
      </w:r>
      <w:r w:rsidRPr="00995225">
        <w:rPr>
          <w:rFonts w:ascii="Arial" w:hAnsi="Arial" w:cs="Arial"/>
          <w:sz w:val="24"/>
          <w:szCs w:val="24"/>
        </w:rPr>
        <w:t xml:space="preserve"> gobierno</w:t>
      </w:r>
      <w:r>
        <w:rPr>
          <w:rFonts w:ascii="Arial" w:hAnsi="Arial" w:cs="Arial"/>
          <w:sz w:val="24"/>
          <w:szCs w:val="24"/>
        </w:rPr>
        <w:t>s</w:t>
      </w:r>
      <w:r w:rsidRPr="00995225">
        <w:rPr>
          <w:rFonts w:ascii="Arial" w:hAnsi="Arial" w:cs="Arial"/>
          <w:sz w:val="24"/>
          <w:szCs w:val="24"/>
        </w:rPr>
        <w:t xml:space="preserve"> local</w:t>
      </w:r>
      <w:r>
        <w:rPr>
          <w:rFonts w:ascii="Arial" w:hAnsi="Arial" w:cs="Arial"/>
          <w:sz w:val="24"/>
          <w:szCs w:val="24"/>
        </w:rPr>
        <w:t>es</w:t>
      </w:r>
      <w:r w:rsidRPr="00995225">
        <w:rPr>
          <w:rFonts w:ascii="Arial" w:hAnsi="Arial" w:cs="Arial"/>
          <w:sz w:val="24"/>
          <w:szCs w:val="24"/>
        </w:rPr>
        <w:t xml:space="preserve"> y regional</w:t>
      </w:r>
      <w:r>
        <w:rPr>
          <w:rFonts w:ascii="Arial" w:hAnsi="Arial" w:cs="Arial"/>
          <w:sz w:val="24"/>
          <w:szCs w:val="24"/>
        </w:rPr>
        <w:t>es</w:t>
      </w:r>
      <w:r w:rsidRPr="00995225">
        <w:rPr>
          <w:rFonts w:ascii="Arial" w:hAnsi="Arial" w:cs="Arial"/>
          <w:sz w:val="24"/>
          <w:szCs w:val="24"/>
        </w:rPr>
        <w:t>, donde los políticos tal vez se sient</w:t>
      </w:r>
      <w:r>
        <w:rPr>
          <w:rFonts w:ascii="Arial" w:hAnsi="Arial" w:cs="Arial"/>
          <w:sz w:val="24"/>
          <w:szCs w:val="24"/>
        </w:rPr>
        <w:t>e</w:t>
      </w:r>
      <w:r w:rsidRPr="00995225">
        <w:rPr>
          <w:rFonts w:ascii="Arial" w:hAnsi="Arial" w:cs="Arial"/>
          <w:sz w:val="24"/>
          <w:szCs w:val="24"/>
        </w:rPr>
        <w:t>n más identificado</w:t>
      </w:r>
      <w:r>
        <w:rPr>
          <w:rFonts w:ascii="Arial" w:hAnsi="Arial" w:cs="Arial"/>
          <w:sz w:val="24"/>
          <w:szCs w:val="24"/>
        </w:rPr>
        <w:t>s</w:t>
      </w:r>
      <w:r w:rsidRPr="00995225">
        <w:rPr>
          <w:rFonts w:ascii="Arial" w:hAnsi="Arial" w:cs="Arial"/>
          <w:sz w:val="24"/>
          <w:szCs w:val="24"/>
        </w:rPr>
        <w:t xml:space="preserve"> con las víctimas y se mantienen más cercanos a la</w:t>
      </w:r>
      <w:r>
        <w:rPr>
          <w:rFonts w:ascii="Arial" w:hAnsi="Arial" w:cs="Arial"/>
          <w:sz w:val="24"/>
          <w:szCs w:val="24"/>
        </w:rPr>
        <w:t>s</w:t>
      </w:r>
      <w:r w:rsidRPr="00995225">
        <w:rPr>
          <w:rFonts w:ascii="Arial" w:hAnsi="Arial" w:cs="Arial"/>
          <w:sz w:val="24"/>
          <w:szCs w:val="24"/>
        </w:rPr>
        <w:t xml:space="preserve"> crítica</w:t>
      </w:r>
      <w:r>
        <w:rPr>
          <w:rFonts w:ascii="Arial" w:hAnsi="Arial" w:cs="Arial"/>
          <w:sz w:val="24"/>
          <w:szCs w:val="24"/>
        </w:rPr>
        <w:t>s</w:t>
      </w:r>
      <w:r w:rsidRPr="00995225">
        <w:rPr>
          <w:rFonts w:ascii="Arial" w:hAnsi="Arial" w:cs="Arial"/>
          <w:sz w:val="24"/>
          <w:szCs w:val="24"/>
        </w:rPr>
        <w:t>, ha</w:t>
      </w:r>
      <w:r>
        <w:rPr>
          <w:rFonts w:ascii="Arial" w:hAnsi="Arial" w:cs="Arial"/>
          <w:sz w:val="24"/>
          <w:szCs w:val="24"/>
        </w:rPr>
        <w:t>n</w:t>
      </w:r>
      <w:r w:rsidRPr="00995225">
        <w:rPr>
          <w:rFonts w:ascii="Arial" w:hAnsi="Arial" w:cs="Arial"/>
          <w:sz w:val="24"/>
          <w:szCs w:val="24"/>
        </w:rPr>
        <w:t xml:space="preserve"> habido algunas iniciativas importantes para registrar a las víctimas y poner en marcha programas </w:t>
      </w:r>
      <w:r>
        <w:rPr>
          <w:rFonts w:ascii="Arial" w:hAnsi="Arial" w:cs="Arial"/>
          <w:sz w:val="24"/>
          <w:szCs w:val="24"/>
        </w:rPr>
        <w:t>a</w:t>
      </w:r>
      <w:r w:rsidRPr="00995225">
        <w:rPr>
          <w:rFonts w:ascii="Arial" w:hAnsi="Arial" w:cs="Arial"/>
          <w:sz w:val="24"/>
          <w:szCs w:val="24"/>
        </w:rPr>
        <w:t xml:space="preserve"> nivel comunitario.</w:t>
      </w:r>
      <w:r>
        <w:rPr>
          <w:rFonts w:ascii="Arial" w:hAnsi="Arial" w:cs="Arial"/>
          <w:sz w:val="24"/>
          <w:szCs w:val="24"/>
        </w:rPr>
        <w:t xml:space="preserve"> </w:t>
      </w:r>
      <w:r w:rsidRPr="00995225">
        <w:rPr>
          <w:rFonts w:ascii="Arial" w:hAnsi="Arial" w:cs="Arial"/>
          <w:sz w:val="24"/>
          <w:szCs w:val="24"/>
        </w:rPr>
        <w:t xml:space="preserve">Desde el discurso inicial del presidente Toledo sobre el </w:t>
      </w:r>
      <w:r>
        <w:rPr>
          <w:rFonts w:ascii="Arial" w:hAnsi="Arial" w:cs="Arial"/>
          <w:sz w:val="24"/>
          <w:szCs w:val="24"/>
        </w:rPr>
        <w:t>I</w:t>
      </w:r>
      <w:r w:rsidRPr="00995225">
        <w:rPr>
          <w:rFonts w:ascii="Arial" w:hAnsi="Arial" w:cs="Arial"/>
          <w:sz w:val="24"/>
          <w:szCs w:val="24"/>
        </w:rPr>
        <w:t xml:space="preserve">nforme </w:t>
      </w:r>
      <w:r>
        <w:rPr>
          <w:rFonts w:ascii="Arial" w:hAnsi="Arial" w:cs="Arial"/>
          <w:sz w:val="24"/>
          <w:szCs w:val="24"/>
        </w:rPr>
        <w:t>F</w:t>
      </w:r>
      <w:r w:rsidRPr="00995225">
        <w:rPr>
          <w:rFonts w:ascii="Arial" w:hAnsi="Arial" w:cs="Arial"/>
          <w:sz w:val="24"/>
          <w:szCs w:val="24"/>
        </w:rPr>
        <w:t>inal de la CVR hasta la actualidad, ha habido un intento de utilizar los programas de desarrollo y alivio de la pobreza como un vehículo para las reparaciones. Esto puede ser un atajo políticamente atractivo, ya que hay una clara superposición de las poblaciones de víctimas con l</w:t>
      </w:r>
      <w:r>
        <w:rPr>
          <w:rFonts w:ascii="Arial" w:hAnsi="Arial" w:cs="Arial"/>
          <w:sz w:val="24"/>
          <w:szCs w:val="24"/>
        </w:rPr>
        <w:t>a</w:t>
      </w:r>
      <w:r w:rsidRPr="00995225">
        <w:rPr>
          <w:rFonts w:ascii="Arial" w:hAnsi="Arial" w:cs="Arial"/>
          <w:sz w:val="24"/>
          <w:szCs w:val="24"/>
        </w:rPr>
        <w:t xml:space="preserve">s que necesitan de estos programas, y tanto las reparaciones </w:t>
      </w:r>
      <w:r>
        <w:rPr>
          <w:rFonts w:ascii="Arial" w:hAnsi="Arial" w:cs="Arial"/>
          <w:sz w:val="24"/>
          <w:szCs w:val="24"/>
        </w:rPr>
        <w:t>como</w:t>
      </w:r>
      <w:r w:rsidRPr="00995225">
        <w:rPr>
          <w:rFonts w:ascii="Arial" w:hAnsi="Arial" w:cs="Arial"/>
          <w:sz w:val="24"/>
          <w:szCs w:val="24"/>
        </w:rPr>
        <w:t xml:space="preserve"> el desarrollo son demandas de la población. Sin embargo, este enfoque socava el reconocimiento de </w:t>
      </w:r>
      <w:r>
        <w:rPr>
          <w:rFonts w:ascii="Arial" w:hAnsi="Arial" w:cs="Arial"/>
          <w:sz w:val="24"/>
          <w:szCs w:val="24"/>
        </w:rPr>
        <w:t xml:space="preserve">las </w:t>
      </w:r>
      <w:r w:rsidRPr="00995225">
        <w:rPr>
          <w:rFonts w:ascii="Arial" w:hAnsi="Arial" w:cs="Arial"/>
          <w:sz w:val="24"/>
          <w:szCs w:val="24"/>
        </w:rPr>
        <w:t xml:space="preserve">violaciones de derechos humanos como elemento fundamental </w:t>
      </w:r>
      <w:r>
        <w:rPr>
          <w:rFonts w:ascii="Arial" w:hAnsi="Arial" w:cs="Arial"/>
          <w:sz w:val="24"/>
          <w:szCs w:val="24"/>
        </w:rPr>
        <w:t>de</w:t>
      </w:r>
      <w:r w:rsidRPr="00995225">
        <w:rPr>
          <w:rFonts w:ascii="Arial" w:hAnsi="Arial" w:cs="Arial"/>
          <w:sz w:val="24"/>
          <w:szCs w:val="24"/>
        </w:rPr>
        <w:t xml:space="preserve"> cualquier reparación. La CVR hizo hincapié en que las reparaciones no son un instrumento de política social que </w:t>
      </w:r>
      <w:r>
        <w:rPr>
          <w:rFonts w:ascii="Arial" w:hAnsi="Arial" w:cs="Arial"/>
          <w:sz w:val="24"/>
          <w:szCs w:val="24"/>
        </w:rPr>
        <w:t>reemplaza</w:t>
      </w:r>
      <w:r w:rsidRPr="00995225">
        <w:rPr>
          <w:rFonts w:ascii="Arial" w:hAnsi="Arial" w:cs="Arial"/>
          <w:sz w:val="24"/>
          <w:szCs w:val="24"/>
        </w:rPr>
        <w:t xml:space="preserve"> las obligaciones del Estado </w:t>
      </w:r>
      <w:r>
        <w:rPr>
          <w:rFonts w:ascii="Arial" w:hAnsi="Arial" w:cs="Arial"/>
          <w:sz w:val="24"/>
          <w:szCs w:val="24"/>
        </w:rPr>
        <w:t>de</w:t>
      </w:r>
      <w:r w:rsidRPr="00995225">
        <w:rPr>
          <w:rFonts w:ascii="Arial" w:hAnsi="Arial" w:cs="Arial"/>
          <w:sz w:val="24"/>
          <w:szCs w:val="24"/>
        </w:rPr>
        <w:t xml:space="preserve"> abordar los problemas estructurales de la pobreza, la exclusión y la discriminación. Esto continúa siendo un desafío para la implementación.</w:t>
      </w:r>
    </w:p>
    <w:p w:rsidR="00A22429" w:rsidRPr="00995225" w:rsidRDefault="00A22429" w:rsidP="00874F54">
      <w:pPr>
        <w:spacing w:after="0" w:line="360" w:lineRule="auto"/>
        <w:ind w:firstLine="708"/>
        <w:jc w:val="both"/>
        <w:rPr>
          <w:rFonts w:ascii="Arial" w:hAnsi="Arial" w:cs="Arial"/>
          <w:sz w:val="24"/>
          <w:szCs w:val="24"/>
        </w:rPr>
      </w:pPr>
      <w:r w:rsidRPr="00995225">
        <w:rPr>
          <w:rFonts w:ascii="Arial" w:hAnsi="Arial" w:cs="Arial"/>
          <w:sz w:val="24"/>
          <w:szCs w:val="24"/>
        </w:rPr>
        <w:t xml:space="preserve">Otro desafío consiste en superar el rechazo </w:t>
      </w:r>
      <w:r>
        <w:rPr>
          <w:rFonts w:ascii="Arial" w:hAnsi="Arial" w:cs="Arial"/>
          <w:sz w:val="24"/>
          <w:szCs w:val="24"/>
        </w:rPr>
        <w:t xml:space="preserve">a </w:t>
      </w:r>
      <w:r w:rsidRPr="00995225">
        <w:rPr>
          <w:rFonts w:ascii="Arial" w:hAnsi="Arial" w:cs="Arial"/>
          <w:sz w:val="24"/>
          <w:szCs w:val="24"/>
        </w:rPr>
        <w:t>la</w:t>
      </w:r>
      <w:r>
        <w:rPr>
          <w:rFonts w:ascii="Arial" w:hAnsi="Arial" w:cs="Arial"/>
          <w:sz w:val="24"/>
          <w:szCs w:val="24"/>
        </w:rPr>
        <w:t>s</w:t>
      </w:r>
      <w:r w:rsidRPr="00995225">
        <w:rPr>
          <w:rFonts w:ascii="Arial" w:hAnsi="Arial" w:cs="Arial"/>
          <w:sz w:val="24"/>
          <w:szCs w:val="24"/>
        </w:rPr>
        <w:t xml:space="preserve"> indemnizaci</w:t>
      </w:r>
      <w:r>
        <w:rPr>
          <w:rFonts w:ascii="Arial" w:hAnsi="Arial" w:cs="Arial"/>
          <w:sz w:val="24"/>
          <w:szCs w:val="24"/>
        </w:rPr>
        <w:t>ones</w:t>
      </w:r>
      <w:r w:rsidRPr="00995225">
        <w:rPr>
          <w:rFonts w:ascii="Arial" w:hAnsi="Arial" w:cs="Arial"/>
          <w:sz w:val="24"/>
          <w:szCs w:val="24"/>
        </w:rPr>
        <w:t xml:space="preserve"> y el argumento de que las reparaciones son muy costosas para el país. </w:t>
      </w:r>
      <w:r>
        <w:rPr>
          <w:rFonts w:ascii="Arial" w:hAnsi="Arial" w:cs="Arial"/>
          <w:sz w:val="24"/>
          <w:szCs w:val="24"/>
        </w:rPr>
        <w:t xml:space="preserve">El </w:t>
      </w:r>
      <w:r w:rsidRPr="00995225">
        <w:rPr>
          <w:rFonts w:ascii="Arial" w:hAnsi="Arial" w:cs="Arial"/>
          <w:sz w:val="24"/>
          <w:szCs w:val="24"/>
        </w:rPr>
        <w:t>Perú ya ha otorgado indemnizaci</w:t>
      </w:r>
      <w:r>
        <w:rPr>
          <w:rFonts w:ascii="Arial" w:hAnsi="Arial" w:cs="Arial"/>
          <w:sz w:val="24"/>
          <w:szCs w:val="24"/>
        </w:rPr>
        <w:t>ones</w:t>
      </w:r>
      <w:r w:rsidRPr="00995225">
        <w:rPr>
          <w:rFonts w:ascii="Arial" w:hAnsi="Arial" w:cs="Arial"/>
          <w:sz w:val="24"/>
          <w:szCs w:val="24"/>
        </w:rPr>
        <w:t xml:space="preserve"> especial</w:t>
      </w:r>
      <w:r>
        <w:rPr>
          <w:rFonts w:ascii="Arial" w:hAnsi="Arial" w:cs="Arial"/>
          <w:sz w:val="24"/>
          <w:szCs w:val="24"/>
        </w:rPr>
        <w:t>es</w:t>
      </w:r>
      <w:r w:rsidRPr="00995225">
        <w:rPr>
          <w:rFonts w:ascii="Arial" w:hAnsi="Arial" w:cs="Arial"/>
          <w:sz w:val="24"/>
          <w:szCs w:val="24"/>
        </w:rPr>
        <w:t xml:space="preserve"> a través de l</w:t>
      </w:r>
      <w:r>
        <w:rPr>
          <w:rFonts w:ascii="Arial" w:hAnsi="Arial" w:cs="Arial"/>
          <w:sz w:val="24"/>
          <w:szCs w:val="24"/>
        </w:rPr>
        <w:t>eyes</w:t>
      </w:r>
      <w:r w:rsidRPr="00995225">
        <w:rPr>
          <w:rFonts w:ascii="Arial" w:hAnsi="Arial" w:cs="Arial"/>
          <w:sz w:val="24"/>
          <w:szCs w:val="24"/>
        </w:rPr>
        <w:t xml:space="preserve"> anterior</w:t>
      </w:r>
      <w:r>
        <w:rPr>
          <w:rFonts w:ascii="Arial" w:hAnsi="Arial" w:cs="Arial"/>
          <w:sz w:val="24"/>
          <w:szCs w:val="24"/>
        </w:rPr>
        <w:t>es</w:t>
      </w:r>
      <w:r w:rsidRPr="00995225">
        <w:rPr>
          <w:rFonts w:ascii="Arial" w:hAnsi="Arial" w:cs="Arial"/>
          <w:sz w:val="24"/>
          <w:szCs w:val="24"/>
        </w:rPr>
        <w:t xml:space="preserve"> para las </w:t>
      </w:r>
      <w:r>
        <w:rPr>
          <w:rFonts w:ascii="Arial" w:hAnsi="Arial" w:cs="Arial"/>
          <w:sz w:val="24"/>
          <w:szCs w:val="24"/>
        </w:rPr>
        <w:t>“</w:t>
      </w:r>
      <w:r w:rsidRPr="00995225">
        <w:rPr>
          <w:rFonts w:ascii="Arial" w:hAnsi="Arial" w:cs="Arial"/>
          <w:sz w:val="24"/>
          <w:szCs w:val="24"/>
        </w:rPr>
        <w:t>víctimas del terrorismo</w:t>
      </w:r>
      <w:r>
        <w:rPr>
          <w:rFonts w:ascii="Arial" w:hAnsi="Arial" w:cs="Arial"/>
          <w:sz w:val="24"/>
          <w:szCs w:val="24"/>
        </w:rPr>
        <w:t>” y</w:t>
      </w:r>
      <w:r w:rsidRPr="00995225">
        <w:rPr>
          <w:rFonts w:ascii="Arial" w:hAnsi="Arial" w:cs="Arial"/>
          <w:sz w:val="24"/>
          <w:szCs w:val="24"/>
        </w:rPr>
        <w:t xml:space="preserve"> </w:t>
      </w:r>
      <w:r>
        <w:rPr>
          <w:rFonts w:ascii="Arial" w:hAnsi="Arial" w:cs="Arial"/>
          <w:sz w:val="24"/>
          <w:szCs w:val="24"/>
        </w:rPr>
        <w:t>como</w:t>
      </w:r>
      <w:r w:rsidRPr="00995225">
        <w:rPr>
          <w:rFonts w:ascii="Arial" w:hAnsi="Arial" w:cs="Arial"/>
          <w:sz w:val="24"/>
          <w:szCs w:val="24"/>
        </w:rPr>
        <w:t xml:space="preserve"> satisfacción de una serie de sentencias o </w:t>
      </w:r>
      <w:r>
        <w:rPr>
          <w:rFonts w:ascii="Arial" w:hAnsi="Arial" w:cs="Arial"/>
          <w:sz w:val="24"/>
          <w:szCs w:val="24"/>
        </w:rPr>
        <w:t>acuerdos</w:t>
      </w:r>
      <w:r w:rsidRPr="00995225">
        <w:rPr>
          <w:rFonts w:ascii="Arial" w:hAnsi="Arial" w:cs="Arial"/>
          <w:sz w:val="24"/>
          <w:szCs w:val="24"/>
        </w:rPr>
        <w:t xml:space="preserve"> en el Sistema Interamericano de Derechos Humanos. El reconocimiento de derecho</w:t>
      </w:r>
      <w:r>
        <w:rPr>
          <w:rFonts w:ascii="Arial" w:hAnsi="Arial" w:cs="Arial"/>
          <w:sz w:val="24"/>
          <w:szCs w:val="24"/>
        </w:rPr>
        <w:t>s</w:t>
      </w:r>
      <w:r w:rsidRPr="00995225">
        <w:rPr>
          <w:rFonts w:ascii="Arial" w:hAnsi="Arial" w:cs="Arial"/>
          <w:sz w:val="24"/>
          <w:szCs w:val="24"/>
        </w:rPr>
        <w:t xml:space="preserve"> en estos casos</w:t>
      </w:r>
      <w:r>
        <w:rPr>
          <w:rFonts w:ascii="Arial" w:hAnsi="Arial" w:cs="Arial"/>
          <w:sz w:val="24"/>
          <w:szCs w:val="24"/>
        </w:rPr>
        <w:t>,</w:t>
      </w:r>
      <w:r w:rsidRPr="00995225">
        <w:rPr>
          <w:rFonts w:ascii="Arial" w:hAnsi="Arial" w:cs="Arial"/>
          <w:sz w:val="24"/>
          <w:szCs w:val="24"/>
        </w:rPr>
        <w:t xml:space="preserve"> sin proporcionar igualdad de trato a las víctimas</w:t>
      </w:r>
      <w:r>
        <w:rPr>
          <w:rFonts w:ascii="Arial" w:hAnsi="Arial" w:cs="Arial"/>
          <w:sz w:val="24"/>
          <w:szCs w:val="24"/>
        </w:rPr>
        <w:t>,</w:t>
      </w:r>
      <w:r w:rsidRPr="00995225">
        <w:rPr>
          <w:rFonts w:ascii="Arial" w:hAnsi="Arial" w:cs="Arial"/>
          <w:sz w:val="24"/>
          <w:szCs w:val="24"/>
        </w:rPr>
        <w:t xml:space="preserve"> seguirá generando tensiones y subrayando las desigualdades existentes.</w:t>
      </w:r>
    </w:p>
    <w:p w:rsidR="00A22429" w:rsidRPr="00995225" w:rsidRDefault="00A22429" w:rsidP="00874F54">
      <w:pPr>
        <w:spacing w:after="0" w:line="360" w:lineRule="auto"/>
        <w:ind w:firstLine="708"/>
        <w:jc w:val="both"/>
        <w:rPr>
          <w:rFonts w:ascii="Arial" w:hAnsi="Arial" w:cs="Arial"/>
          <w:sz w:val="24"/>
          <w:szCs w:val="24"/>
        </w:rPr>
      </w:pPr>
      <w:r w:rsidRPr="00995225">
        <w:rPr>
          <w:rFonts w:ascii="Arial" w:hAnsi="Arial" w:cs="Arial"/>
          <w:sz w:val="24"/>
          <w:szCs w:val="24"/>
        </w:rPr>
        <w:t xml:space="preserve">Por último, el </w:t>
      </w:r>
      <w:r>
        <w:rPr>
          <w:rFonts w:ascii="Arial" w:hAnsi="Arial" w:cs="Arial"/>
          <w:sz w:val="24"/>
          <w:szCs w:val="24"/>
        </w:rPr>
        <w:t>g</w:t>
      </w:r>
      <w:r w:rsidRPr="00995225">
        <w:rPr>
          <w:rFonts w:ascii="Arial" w:hAnsi="Arial" w:cs="Arial"/>
          <w:sz w:val="24"/>
          <w:szCs w:val="24"/>
        </w:rPr>
        <w:t>obierno del Perú realizará el cambio de mando a fin</w:t>
      </w:r>
      <w:r>
        <w:rPr>
          <w:rFonts w:ascii="Arial" w:hAnsi="Arial" w:cs="Arial"/>
          <w:sz w:val="24"/>
          <w:szCs w:val="24"/>
        </w:rPr>
        <w:t>es d</w:t>
      </w:r>
      <w:r w:rsidRPr="00995225">
        <w:rPr>
          <w:rFonts w:ascii="Arial" w:hAnsi="Arial" w:cs="Arial"/>
          <w:sz w:val="24"/>
          <w:szCs w:val="24"/>
        </w:rPr>
        <w:t>e julio de</w:t>
      </w:r>
      <w:r>
        <w:rPr>
          <w:rFonts w:ascii="Arial" w:hAnsi="Arial" w:cs="Arial"/>
          <w:sz w:val="24"/>
          <w:szCs w:val="24"/>
        </w:rPr>
        <w:t>l</w:t>
      </w:r>
      <w:r w:rsidRPr="00995225">
        <w:rPr>
          <w:rFonts w:ascii="Arial" w:hAnsi="Arial" w:cs="Arial"/>
          <w:sz w:val="24"/>
          <w:szCs w:val="24"/>
        </w:rPr>
        <w:t xml:space="preserve"> 2006</w:t>
      </w:r>
      <w:r>
        <w:rPr>
          <w:rFonts w:ascii="Arial" w:hAnsi="Arial" w:cs="Arial"/>
          <w:sz w:val="24"/>
          <w:szCs w:val="24"/>
        </w:rPr>
        <w:t>,</w:t>
      </w:r>
      <w:r w:rsidRPr="00995225">
        <w:rPr>
          <w:rFonts w:ascii="Arial" w:hAnsi="Arial" w:cs="Arial"/>
          <w:sz w:val="24"/>
          <w:szCs w:val="24"/>
        </w:rPr>
        <w:t xml:space="preserve"> y muchas de las recomendaciones de la CVR permanecen en la cuerda floja. Ninguno de los dos candidatos que compiten actualmente por la Presidencia ofrece </w:t>
      </w:r>
      <w:r>
        <w:rPr>
          <w:rFonts w:ascii="Arial" w:hAnsi="Arial" w:cs="Arial"/>
          <w:sz w:val="24"/>
          <w:szCs w:val="24"/>
        </w:rPr>
        <w:t xml:space="preserve">señales </w:t>
      </w:r>
      <w:r w:rsidRPr="00995225">
        <w:rPr>
          <w:rFonts w:ascii="Arial" w:hAnsi="Arial" w:cs="Arial"/>
          <w:sz w:val="24"/>
          <w:szCs w:val="24"/>
        </w:rPr>
        <w:t>clara</w:t>
      </w:r>
      <w:r>
        <w:rPr>
          <w:rFonts w:ascii="Arial" w:hAnsi="Arial" w:cs="Arial"/>
          <w:sz w:val="24"/>
          <w:szCs w:val="24"/>
        </w:rPr>
        <w:t>s</w:t>
      </w:r>
      <w:r w:rsidRPr="00995225">
        <w:rPr>
          <w:rFonts w:ascii="Arial" w:hAnsi="Arial" w:cs="Arial"/>
          <w:sz w:val="24"/>
          <w:szCs w:val="24"/>
        </w:rPr>
        <w:t xml:space="preserve"> para las reparaciones, la justicia y las revelaciones continuas </w:t>
      </w:r>
      <w:r>
        <w:rPr>
          <w:rFonts w:ascii="Arial" w:hAnsi="Arial" w:cs="Arial"/>
          <w:sz w:val="24"/>
          <w:szCs w:val="24"/>
        </w:rPr>
        <w:t>d</w:t>
      </w:r>
      <w:r w:rsidRPr="00995225">
        <w:rPr>
          <w:rFonts w:ascii="Arial" w:hAnsi="Arial" w:cs="Arial"/>
          <w:sz w:val="24"/>
          <w:szCs w:val="24"/>
        </w:rPr>
        <w:t>el pasado. Esto sugiere que una estrecha vigilancia y una defensa sólida serán necesarias para preservar los logros alcanzados durante los últimos años, y para avanzar de manera significativa.</w:t>
      </w:r>
    </w:p>
    <w:sectPr w:rsidR="00A22429" w:rsidRPr="00995225" w:rsidSect="0039662F">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2429" w:rsidRDefault="00A22429" w:rsidP="009D3F17">
      <w:pPr>
        <w:spacing w:after="0" w:line="240" w:lineRule="auto"/>
      </w:pPr>
      <w:r>
        <w:separator/>
      </w:r>
    </w:p>
  </w:endnote>
  <w:endnote w:type="continuationSeparator" w:id="1">
    <w:p w:rsidR="00A22429" w:rsidRDefault="00A22429" w:rsidP="009D3F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2429" w:rsidRDefault="00A22429" w:rsidP="009D3F17">
      <w:pPr>
        <w:spacing w:after="0" w:line="240" w:lineRule="auto"/>
      </w:pPr>
      <w:r>
        <w:separator/>
      </w:r>
    </w:p>
  </w:footnote>
  <w:footnote w:type="continuationSeparator" w:id="1">
    <w:p w:rsidR="00A22429" w:rsidRDefault="00A22429" w:rsidP="009D3F17">
      <w:pPr>
        <w:spacing w:after="0" w:line="240" w:lineRule="auto"/>
      </w:pPr>
      <w:r>
        <w:continuationSeparator/>
      </w:r>
    </w:p>
  </w:footnote>
  <w:footnote w:id="2">
    <w:p w:rsidR="00A22429" w:rsidRDefault="00A22429" w:rsidP="006571D5">
      <w:pPr>
        <w:pStyle w:val="FootnoteText"/>
        <w:spacing w:line="360" w:lineRule="auto"/>
        <w:jc w:val="both"/>
      </w:pPr>
      <w:r w:rsidRPr="00B33977">
        <w:rPr>
          <w:rStyle w:val="FootnoteReference"/>
          <w:rFonts w:ascii="Arial" w:hAnsi="Arial" w:cs="Arial"/>
          <w:lang w:val="en-GB"/>
        </w:rPr>
        <w:t>*</w:t>
      </w:r>
      <w:r w:rsidRPr="00B33977">
        <w:rPr>
          <w:rFonts w:ascii="Arial" w:hAnsi="Arial" w:cs="Arial"/>
          <w:lang w:val="en-GB"/>
        </w:rPr>
        <w:t xml:space="preserve"> </w:t>
      </w:r>
      <w:r w:rsidRPr="00B33977">
        <w:rPr>
          <w:rFonts w:ascii="Arial" w:hAnsi="Arial" w:cs="Arial"/>
          <w:i/>
          <w:iCs/>
          <w:lang w:val="en-GB"/>
        </w:rPr>
        <w:t>The Reparation Report. The bi-annual Journal of the Redress Trust,</w:t>
      </w:r>
      <w:r w:rsidRPr="00B33977">
        <w:rPr>
          <w:rFonts w:ascii="Arial" w:hAnsi="Arial" w:cs="Arial"/>
          <w:lang w:val="en-GB"/>
        </w:rPr>
        <w:t xml:space="preserve"> 7, Mayo 2006. </w:t>
      </w:r>
      <w:r w:rsidRPr="006571D5">
        <w:rPr>
          <w:rFonts w:ascii="Arial" w:hAnsi="Arial" w:cs="Arial"/>
        </w:rPr>
        <w:t>Julie Guillerot ha trabajado como Consultora Asociada del Centro Internacional para la Justicia Transicional (ICTJ), donde Lisa Magarell es Asociada Senior. Actualmente están escribiendo un libro sobre las reparaciones en el Perú, que será publicado por el ICTJ y la Asociación Pro Derechos Humanos (APRODEH), que se publicará en agosto de 2006.</w:t>
      </w:r>
    </w:p>
  </w:footnote>
  <w:footnote w:id="3">
    <w:p w:rsidR="00A22429" w:rsidRDefault="00A22429" w:rsidP="006571D5">
      <w:pPr>
        <w:pStyle w:val="FootnoteText"/>
        <w:spacing w:line="360" w:lineRule="auto"/>
        <w:jc w:val="both"/>
      </w:pPr>
      <w:r w:rsidRPr="006571D5">
        <w:rPr>
          <w:rStyle w:val="FootnoteReference"/>
          <w:rFonts w:ascii="Arial" w:hAnsi="Arial" w:cs="Arial"/>
        </w:rPr>
        <w:footnoteRef/>
      </w:r>
      <w:r w:rsidRPr="006571D5">
        <w:rPr>
          <w:rFonts w:ascii="Arial" w:hAnsi="Arial" w:cs="Arial"/>
        </w:rPr>
        <w:t xml:space="preserve"> Decreto Supremo N° 065-2001-PCM, 4 de junio de 2001</w:t>
      </w:r>
    </w:p>
  </w:footnote>
  <w:footnote w:id="4">
    <w:p w:rsidR="00A22429" w:rsidRDefault="00A22429" w:rsidP="006571D5">
      <w:pPr>
        <w:pStyle w:val="FootnoteText"/>
        <w:spacing w:line="360" w:lineRule="auto"/>
        <w:jc w:val="both"/>
      </w:pPr>
      <w:r w:rsidRPr="006571D5">
        <w:rPr>
          <w:rStyle w:val="FootnoteReference"/>
          <w:rFonts w:ascii="Arial" w:hAnsi="Arial" w:cs="Arial"/>
        </w:rPr>
        <w:footnoteRef/>
      </w:r>
      <w:r w:rsidRPr="006571D5">
        <w:rPr>
          <w:rFonts w:ascii="Arial" w:hAnsi="Arial" w:cs="Arial"/>
        </w:rPr>
        <w:t xml:space="preserve"> Decreto supremo N° 101-2001-PCM, 31 de agosto de 2001</w:t>
      </w:r>
    </w:p>
  </w:footnote>
  <w:footnote w:id="5">
    <w:p w:rsidR="00A22429" w:rsidRDefault="00A22429" w:rsidP="006571D5">
      <w:pPr>
        <w:pStyle w:val="FootnoteText"/>
        <w:spacing w:line="360" w:lineRule="auto"/>
        <w:jc w:val="both"/>
      </w:pPr>
      <w:r w:rsidRPr="006571D5">
        <w:rPr>
          <w:rStyle w:val="FootnoteReference"/>
          <w:rFonts w:ascii="Arial" w:hAnsi="Arial" w:cs="Arial"/>
        </w:rPr>
        <w:footnoteRef/>
      </w:r>
      <w:r w:rsidRPr="006571D5">
        <w:rPr>
          <w:rFonts w:ascii="Arial" w:hAnsi="Arial" w:cs="Arial"/>
        </w:rPr>
        <w:t xml:space="preserve"> Decreto Supremo N° 003-2004-JUS, 6 de  febrero de 2004. Modificado por Decreto Supremo N° 024-2004-JUS, 25 de marzo de 2004 y posteriormente concretado por Resolución N° 154-2004-PCM, 4 de mayo de 2004, y el Decreto Supremo N° 031-2005-JUS, 7 de abril de 2005. La CMAN inició sus funciones bajo tutela del Consejo de Ministros y fue recientemente trasladada al Ministerio de Justicia. Además de los Ministros, la CMAN incluye 4 representantes de la sociedad civil, incluyendo uno de</w:t>
      </w:r>
      <w:r>
        <w:rPr>
          <w:rFonts w:ascii="Arial" w:hAnsi="Arial" w:cs="Arial"/>
        </w:rPr>
        <w:t xml:space="preserve"> </w:t>
      </w:r>
      <w:r w:rsidRPr="006571D5">
        <w:rPr>
          <w:rFonts w:ascii="Arial" w:hAnsi="Arial" w:cs="Arial"/>
        </w:rPr>
        <w:t>l</w:t>
      </w:r>
      <w:r>
        <w:rPr>
          <w:rFonts w:ascii="Arial" w:hAnsi="Arial" w:cs="Arial"/>
        </w:rPr>
        <w:t>as ONGs de derechos humanos</w:t>
      </w:r>
      <w:r w:rsidRPr="006571D5">
        <w:rPr>
          <w:rFonts w:ascii="Arial" w:hAnsi="Arial" w:cs="Arial"/>
        </w:rPr>
        <w:t>.</w:t>
      </w:r>
    </w:p>
  </w:footnote>
  <w:footnote w:id="6">
    <w:p w:rsidR="00A22429" w:rsidRDefault="00A22429" w:rsidP="006571D5">
      <w:pPr>
        <w:pStyle w:val="FootnoteText"/>
        <w:spacing w:line="360" w:lineRule="auto"/>
        <w:jc w:val="both"/>
      </w:pPr>
      <w:r w:rsidRPr="006571D5">
        <w:rPr>
          <w:rStyle w:val="FootnoteReference"/>
          <w:rFonts w:ascii="Arial" w:hAnsi="Arial" w:cs="Arial"/>
        </w:rPr>
        <w:footnoteRef/>
      </w:r>
      <w:r w:rsidRPr="006571D5">
        <w:rPr>
          <w:rFonts w:ascii="Arial" w:hAnsi="Arial" w:cs="Arial"/>
        </w:rPr>
        <w:t xml:space="preserve"> Decreto Supremo N° 047-2005-PCM, 7 de julio de 2005, con un anexo publicado el 4 de octubre de 2005.</w:t>
      </w:r>
    </w:p>
  </w:footnote>
  <w:footnote w:id="7">
    <w:p w:rsidR="00A22429" w:rsidRDefault="00A22429" w:rsidP="006571D5">
      <w:pPr>
        <w:pStyle w:val="FootnoteText"/>
        <w:spacing w:line="360" w:lineRule="auto"/>
        <w:jc w:val="both"/>
      </w:pPr>
      <w:r w:rsidRPr="006571D5">
        <w:rPr>
          <w:rStyle w:val="FootnoteReference"/>
          <w:rFonts w:ascii="Arial" w:hAnsi="Arial" w:cs="Arial"/>
        </w:rPr>
        <w:footnoteRef/>
      </w:r>
      <w:r w:rsidRPr="006571D5">
        <w:rPr>
          <w:rFonts w:ascii="Arial" w:hAnsi="Arial" w:cs="Arial"/>
        </w:rPr>
        <w:t xml:space="preserve"> Ley N° 28592, 29 de julio 2005</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06599"/>
    <w:rsid w:val="000202A1"/>
    <w:rsid w:val="000C6A00"/>
    <w:rsid w:val="001078AE"/>
    <w:rsid w:val="0014450F"/>
    <w:rsid w:val="0017630B"/>
    <w:rsid w:val="001E244F"/>
    <w:rsid w:val="00240394"/>
    <w:rsid w:val="00251847"/>
    <w:rsid w:val="002C5A41"/>
    <w:rsid w:val="003466FD"/>
    <w:rsid w:val="003872A9"/>
    <w:rsid w:val="0039662F"/>
    <w:rsid w:val="003B7718"/>
    <w:rsid w:val="003C5C62"/>
    <w:rsid w:val="003D0C24"/>
    <w:rsid w:val="003D1B5A"/>
    <w:rsid w:val="00407B9B"/>
    <w:rsid w:val="00437954"/>
    <w:rsid w:val="00442162"/>
    <w:rsid w:val="00514816"/>
    <w:rsid w:val="00540BD4"/>
    <w:rsid w:val="005D0D0E"/>
    <w:rsid w:val="00653543"/>
    <w:rsid w:val="006571D5"/>
    <w:rsid w:val="00674886"/>
    <w:rsid w:val="006940C6"/>
    <w:rsid w:val="006958A9"/>
    <w:rsid w:val="006E1CF0"/>
    <w:rsid w:val="007004E1"/>
    <w:rsid w:val="007378B4"/>
    <w:rsid w:val="0077138E"/>
    <w:rsid w:val="007C7AB1"/>
    <w:rsid w:val="00825DB1"/>
    <w:rsid w:val="00874F54"/>
    <w:rsid w:val="008A6B8D"/>
    <w:rsid w:val="008D282B"/>
    <w:rsid w:val="00995225"/>
    <w:rsid w:val="009D3F17"/>
    <w:rsid w:val="009E6C56"/>
    <w:rsid w:val="00A02515"/>
    <w:rsid w:val="00A22429"/>
    <w:rsid w:val="00A34E62"/>
    <w:rsid w:val="00A44540"/>
    <w:rsid w:val="00A63FAC"/>
    <w:rsid w:val="00AB6DAE"/>
    <w:rsid w:val="00B14CC1"/>
    <w:rsid w:val="00B33977"/>
    <w:rsid w:val="00B428C0"/>
    <w:rsid w:val="00B72368"/>
    <w:rsid w:val="00B86412"/>
    <w:rsid w:val="00B966FE"/>
    <w:rsid w:val="00BD6CB9"/>
    <w:rsid w:val="00BF43E7"/>
    <w:rsid w:val="00C31317"/>
    <w:rsid w:val="00CB68A5"/>
    <w:rsid w:val="00DF173A"/>
    <w:rsid w:val="00E06599"/>
    <w:rsid w:val="00E12B87"/>
    <w:rsid w:val="00EE0E98"/>
    <w:rsid w:val="00EF47A2"/>
    <w:rsid w:val="00F03210"/>
    <w:rsid w:val="00F1650B"/>
    <w:rsid w:val="00F563D5"/>
    <w:rsid w:val="00F63A86"/>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62F"/>
    <w:pPr>
      <w:spacing w:after="200" w:line="276" w:lineRule="auto"/>
    </w:pPr>
    <w:rPr>
      <w:rFonts w:cs="Calibri"/>
      <w:lang w:val="es-PE"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2C5A41"/>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rsid w:val="009D3F17"/>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9D3F17"/>
    <w:rPr>
      <w:sz w:val="20"/>
      <w:szCs w:val="20"/>
    </w:rPr>
  </w:style>
  <w:style w:type="character" w:styleId="FootnoteReference">
    <w:name w:val="footnote reference"/>
    <w:basedOn w:val="DefaultParagraphFont"/>
    <w:uiPriority w:val="99"/>
    <w:semiHidden/>
    <w:rsid w:val="009D3F17"/>
    <w:rPr>
      <w:vertAlign w:val="superscript"/>
    </w:rPr>
  </w:style>
  <w:style w:type="paragraph" w:styleId="BalloonText">
    <w:name w:val="Balloon Text"/>
    <w:basedOn w:val="Normal"/>
    <w:link w:val="BalloonTextChar"/>
    <w:uiPriority w:val="99"/>
    <w:semiHidden/>
    <w:rsid w:val="008D28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D282B"/>
    <w:rPr>
      <w:rFonts w:ascii="Tahoma" w:hAnsi="Tahoma" w:cs="Tahoma"/>
      <w:sz w:val="16"/>
      <w:szCs w:val="16"/>
    </w:rPr>
  </w:style>
  <w:style w:type="paragraph" w:styleId="DocumentMap">
    <w:name w:val="Document Map"/>
    <w:basedOn w:val="Normal"/>
    <w:link w:val="DocumentMapChar"/>
    <w:uiPriority w:val="99"/>
    <w:semiHidden/>
    <w:rsid w:val="00540BD4"/>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ascii="Times New Roman" w:hAnsi="Times New Roman" w:cs="Times New Roman"/>
      <w:sz w:val="2"/>
      <w:szCs w:val="2"/>
      <w:lang w:val="es-PE" w:eastAsia="en-US"/>
    </w:rPr>
  </w:style>
</w:styles>
</file>

<file path=word/webSettings.xml><?xml version="1.0" encoding="utf-8"?>
<w:webSettings xmlns:r="http://schemas.openxmlformats.org/officeDocument/2006/relationships" xmlns:w="http://schemas.openxmlformats.org/wordprocessingml/2006/main">
  <w:divs>
    <w:div w:id="2048989954">
      <w:marLeft w:val="0"/>
      <w:marRight w:val="0"/>
      <w:marTop w:val="0"/>
      <w:marBottom w:val="0"/>
      <w:divBdr>
        <w:top w:val="none" w:sz="0" w:space="0" w:color="auto"/>
        <w:left w:val="none" w:sz="0" w:space="0" w:color="auto"/>
        <w:bottom w:val="none" w:sz="0" w:space="0" w:color="auto"/>
        <w:right w:val="none" w:sz="0" w:space="0" w:color="auto"/>
      </w:divBdr>
      <w:divsChild>
        <w:div w:id="2048989958">
          <w:marLeft w:val="0"/>
          <w:marRight w:val="0"/>
          <w:marTop w:val="0"/>
          <w:marBottom w:val="0"/>
          <w:divBdr>
            <w:top w:val="none" w:sz="0" w:space="0" w:color="auto"/>
            <w:left w:val="none" w:sz="0" w:space="0" w:color="auto"/>
            <w:bottom w:val="none" w:sz="0" w:space="0" w:color="auto"/>
            <w:right w:val="none" w:sz="0" w:space="0" w:color="auto"/>
          </w:divBdr>
          <w:divsChild>
            <w:div w:id="204898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989959">
      <w:marLeft w:val="0"/>
      <w:marRight w:val="0"/>
      <w:marTop w:val="0"/>
      <w:marBottom w:val="0"/>
      <w:divBdr>
        <w:top w:val="none" w:sz="0" w:space="0" w:color="auto"/>
        <w:left w:val="none" w:sz="0" w:space="0" w:color="auto"/>
        <w:bottom w:val="none" w:sz="0" w:space="0" w:color="auto"/>
        <w:right w:val="none" w:sz="0" w:space="0" w:color="auto"/>
      </w:divBdr>
      <w:divsChild>
        <w:div w:id="2048989962">
          <w:marLeft w:val="0"/>
          <w:marRight w:val="0"/>
          <w:marTop w:val="0"/>
          <w:marBottom w:val="0"/>
          <w:divBdr>
            <w:top w:val="none" w:sz="0" w:space="0" w:color="auto"/>
            <w:left w:val="none" w:sz="0" w:space="0" w:color="auto"/>
            <w:bottom w:val="none" w:sz="0" w:space="0" w:color="auto"/>
            <w:right w:val="none" w:sz="0" w:space="0" w:color="auto"/>
          </w:divBdr>
          <w:divsChild>
            <w:div w:id="204898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989960">
      <w:marLeft w:val="0"/>
      <w:marRight w:val="0"/>
      <w:marTop w:val="0"/>
      <w:marBottom w:val="0"/>
      <w:divBdr>
        <w:top w:val="none" w:sz="0" w:space="0" w:color="auto"/>
        <w:left w:val="none" w:sz="0" w:space="0" w:color="auto"/>
        <w:bottom w:val="none" w:sz="0" w:space="0" w:color="auto"/>
        <w:right w:val="none" w:sz="0" w:space="0" w:color="auto"/>
      </w:divBdr>
      <w:divsChild>
        <w:div w:id="2048989961">
          <w:marLeft w:val="0"/>
          <w:marRight w:val="0"/>
          <w:marTop w:val="0"/>
          <w:marBottom w:val="0"/>
          <w:divBdr>
            <w:top w:val="none" w:sz="0" w:space="0" w:color="auto"/>
            <w:left w:val="none" w:sz="0" w:space="0" w:color="auto"/>
            <w:bottom w:val="none" w:sz="0" w:space="0" w:color="auto"/>
            <w:right w:val="none" w:sz="0" w:space="0" w:color="auto"/>
          </w:divBdr>
          <w:divsChild>
            <w:div w:id="204898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8</Pages>
  <Words>2123</Words>
  <Characters>11677</Characters>
  <Application>Microsoft Office Outlook</Application>
  <DocSecurity>0</DocSecurity>
  <Lines>0</Lines>
  <Paragraphs>0</Paragraphs>
  <ScaleCrop>false</ScaleCrop>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PERÚ Y LAS REPARACIONES: POCOS AVANCES PRÁCTICOS SOBRE EL TERRENO</dc:title>
  <dc:subject/>
  <dc:creator>Ernesto</dc:creator>
  <cp:keywords/>
  <dc:description/>
  <cp:lastModifiedBy>usuario</cp:lastModifiedBy>
  <cp:revision>3</cp:revision>
  <dcterms:created xsi:type="dcterms:W3CDTF">2011-07-27T05:45:00Z</dcterms:created>
  <dcterms:modified xsi:type="dcterms:W3CDTF">2011-08-19T09:17:00Z</dcterms:modified>
</cp:coreProperties>
</file>